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1BBF011E" w:rsidR="009E2096" w:rsidRPr="001F6A49" w:rsidRDefault="009E2096" w:rsidP="001F6A49">
      <w:pPr>
        <w:pStyle w:val="Header"/>
        <w:rPr>
          <w:rFonts w:cs="Arial"/>
          <w:bCs/>
          <w:sz w:val="24"/>
        </w:rPr>
      </w:pPr>
      <w:bookmarkStart w:id="0" w:name="_Ref510623357"/>
      <w:bookmarkStart w:id="1" w:name="_GoBack"/>
      <w:bookmarkEnd w:id="1"/>
      <w:r w:rsidRPr="001F6A49">
        <w:rPr>
          <w:rFonts w:cs="Arial"/>
          <w:bCs/>
          <w:sz w:val="24"/>
        </w:rPr>
        <w:t xml:space="preserve">3GPP TSG RAN WG1 Meeting </w:t>
      </w:r>
      <w:r w:rsidR="00047509" w:rsidRPr="001F6A49">
        <w:rPr>
          <w:rFonts w:cs="Arial"/>
          <w:bCs/>
          <w:sz w:val="24"/>
        </w:rPr>
        <w:t>#9</w:t>
      </w:r>
      <w:r w:rsidR="006258D2" w:rsidRPr="001F6A49">
        <w:rPr>
          <w:rFonts w:cs="Arial"/>
          <w:bCs/>
          <w:sz w:val="24"/>
        </w:rPr>
        <w:t>7</w:t>
      </w:r>
      <w:r w:rsidRPr="001F6A49">
        <w:rPr>
          <w:rFonts w:cs="Arial"/>
          <w:bCs/>
          <w:sz w:val="24"/>
        </w:rPr>
        <w:t xml:space="preserve">             </w:t>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Pr="001F6A49">
        <w:rPr>
          <w:rFonts w:cs="Arial"/>
          <w:bCs/>
          <w:sz w:val="24"/>
        </w:rPr>
        <w:t xml:space="preserve">  </w:t>
      </w:r>
      <w:r w:rsidRPr="001F6A49">
        <w:rPr>
          <w:rFonts w:cs="Arial"/>
          <w:bCs/>
          <w:sz w:val="24"/>
        </w:rPr>
        <w:tab/>
      </w:r>
      <w:r w:rsidR="004E3746" w:rsidRPr="001F6A49">
        <w:rPr>
          <w:rFonts w:cs="Arial"/>
          <w:bCs/>
          <w:sz w:val="24"/>
        </w:rPr>
        <w:t>R1-19</w:t>
      </w:r>
      <w:r w:rsidR="00A64140" w:rsidRPr="001F6A49">
        <w:rPr>
          <w:rFonts w:cs="Arial"/>
          <w:bCs/>
          <w:sz w:val="24"/>
        </w:rPr>
        <w:t>07063</w:t>
      </w:r>
    </w:p>
    <w:p w14:paraId="4B83AC13" w14:textId="6A9F992C" w:rsidR="009E2096" w:rsidRDefault="006258D2" w:rsidP="009E2096">
      <w:pPr>
        <w:pStyle w:val="Header"/>
        <w:rPr>
          <w:rFonts w:cs="Arial"/>
          <w:bCs/>
          <w:sz w:val="24"/>
        </w:rPr>
      </w:pPr>
      <w:r w:rsidRPr="00A64140">
        <w:rPr>
          <w:rFonts w:cs="Arial"/>
          <w:bCs/>
          <w:sz w:val="24"/>
        </w:rPr>
        <w:t>Reno, NV, USA</w:t>
      </w:r>
      <w:r w:rsidR="009E2096" w:rsidRPr="00A64140">
        <w:rPr>
          <w:rFonts w:cs="Arial"/>
          <w:bCs/>
          <w:sz w:val="24"/>
        </w:rPr>
        <w:t xml:space="preserve">, </w:t>
      </w:r>
      <w:r w:rsidRPr="00A64140">
        <w:rPr>
          <w:rFonts w:cs="Arial"/>
          <w:bCs/>
          <w:sz w:val="24"/>
        </w:rPr>
        <w:t>May</w:t>
      </w:r>
      <w:r w:rsidR="009E2096" w:rsidRPr="00A64140">
        <w:rPr>
          <w:rFonts w:cs="Arial"/>
          <w:bCs/>
          <w:sz w:val="24"/>
        </w:rPr>
        <w:t xml:space="preserve"> </w:t>
      </w:r>
      <w:r w:rsidRPr="00A64140">
        <w:rPr>
          <w:rFonts w:cs="Arial"/>
          <w:bCs/>
          <w:sz w:val="24"/>
        </w:rPr>
        <w:t>13</w:t>
      </w:r>
      <w:r w:rsidR="00047509" w:rsidRPr="00A64140">
        <w:rPr>
          <w:rFonts w:cs="Arial"/>
          <w:bCs/>
          <w:sz w:val="24"/>
          <w:vertAlign w:val="superscript"/>
        </w:rPr>
        <w:t>th</w:t>
      </w:r>
      <w:r w:rsidR="009E2096" w:rsidRPr="00A64140">
        <w:rPr>
          <w:rFonts w:cs="Arial"/>
          <w:bCs/>
          <w:sz w:val="24"/>
        </w:rPr>
        <w:t xml:space="preserve"> –</w:t>
      </w:r>
      <w:r w:rsidRPr="00A64140">
        <w:rPr>
          <w:rFonts w:cs="Arial"/>
          <w:bCs/>
          <w:sz w:val="24"/>
        </w:rPr>
        <w:t xml:space="preserve"> </w:t>
      </w:r>
      <w:r w:rsidR="00DE4F29" w:rsidRPr="00A64140">
        <w:rPr>
          <w:rFonts w:cs="Arial"/>
          <w:bCs/>
          <w:sz w:val="24"/>
        </w:rPr>
        <w:t>1</w:t>
      </w:r>
      <w:r w:rsidRPr="00A64140">
        <w:rPr>
          <w:rFonts w:cs="Arial"/>
          <w:bCs/>
          <w:sz w:val="24"/>
        </w:rPr>
        <w:t>7</w:t>
      </w:r>
      <w:r w:rsidR="00DE4F29" w:rsidRPr="00A64140">
        <w:rPr>
          <w:rFonts w:cs="Arial"/>
          <w:bCs/>
          <w:sz w:val="24"/>
          <w:vertAlign w:val="superscript"/>
        </w:rPr>
        <w:t>th</w:t>
      </w:r>
      <w:r w:rsidR="009E2096" w:rsidRPr="00A64140">
        <w:rPr>
          <w:rFonts w:cs="Arial"/>
          <w:bCs/>
          <w:sz w:val="24"/>
        </w:rPr>
        <w:t>, 2019</w:t>
      </w:r>
    </w:p>
    <w:p w14:paraId="63E03E63" w14:textId="77777777" w:rsidR="009E2096" w:rsidRPr="009E2096" w:rsidRDefault="009E2096" w:rsidP="00224092"/>
    <w:p w14:paraId="303ABFE3" w14:textId="2DA52F28"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1F6A49">
        <w:rPr>
          <w:bCs/>
          <w:sz w:val="24"/>
          <w:szCs w:val="24"/>
        </w:rPr>
        <w:t>7</w:t>
      </w:r>
      <w:r w:rsidRPr="001F6A49">
        <w:rPr>
          <w:rFonts w:ascii="Arial,SimSun" w:eastAsia="Arial,SimSun" w:hAnsi="Arial,SimSun" w:cs="Arial,SimSun"/>
          <w:bCs/>
          <w:sz w:val="24"/>
          <w:szCs w:val="24"/>
        </w:rPr>
        <w:t>.</w:t>
      </w:r>
      <w:r w:rsidRPr="001F6A49">
        <w:rPr>
          <w:bCs/>
          <w:sz w:val="24"/>
          <w:szCs w:val="24"/>
        </w:rPr>
        <w:t>2.1</w:t>
      </w:r>
      <w:r w:rsidR="00A64140" w:rsidRPr="001F6A49">
        <w:rPr>
          <w:bCs/>
          <w:sz w:val="24"/>
          <w:szCs w:val="24"/>
        </w:rPr>
        <w:t>3</w:t>
      </w:r>
    </w:p>
    <w:p w14:paraId="58E02A73" w14:textId="21B63CD0" w:rsidR="009E2096" w:rsidRPr="001F6A49" w:rsidRDefault="009E2096" w:rsidP="001F6A49">
      <w:pPr>
        <w:pStyle w:val="CRCoverPage"/>
        <w:rPr>
          <w:b/>
          <w:bCs/>
          <w:sz w:val="24"/>
          <w:szCs w:val="24"/>
        </w:rPr>
      </w:pPr>
      <w:r w:rsidRPr="001F6A49">
        <w:rPr>
          <w:b/>
          <w:bCs/>
          <w:sz w:val="24"/>
          <w:szCs w:val="24"/>
        </w:rPr>
        <w:t>Source:</w:t>
      </w:r>
      <w:r w:rsidR="001F6A49">
        <w:rPr>
          <w:b/>
          <w:bCs/>
          <w:sz w:val="24"/>
          <w:szCs w:val="24"/>
        </w:rPr>
        <w:tab/>
      </w:r>
      <w:r w:rsidR="001F6A49">
        <w:rPr>
          <w:b/>
          <w:bCs/>
          <w:sz w:val="24"/>
          <w:szCs w:val="24"/>
        </w:rPr>
        <w:tab/>
      </w:r>
      <w:r w:rsidR="001F6A49">
        <w:rPr>
          <w:b/>
          <w:bCs/>
          <w:sz w:val="24"/>
          <w:szCs w:val="24"/>
        </w:rPr>
        <w:tab/>
      </w:r>
      <w:r w:rsidRPr="001F6A49">
        <w:rPr>
          <w:b/>
          <w:bCs/>
          <w:sz w:val="24"/>
          <w:szCs w:val="24"/>
        </w:rPr>
        <w:tab/>
      </w:r>
      <w:r w:rsidRPr="001F6A49">
        <w:rPr>
          <w:bCs/>
          <w:sz w:val="24"/>
          <w:szCs w:val="24"/>
        </w:rPr>
        <w:t>Nokia</w:t>
      </w:r>
    </w:p>
    <w:p w14:paraId="2AC96674" w14:textId="2F0EE12D" w:rsidR="009E2096" w:rsidRPr="001F6A49" w:rsidRDefault="009E2096" w:rsidP="001F6A49">
      <w:pPr>
        <w:pStyle w:val="CRCoverPage"/>
        <w:rPr>
          <w:bCs/>
          <w:sz w:val="24"/>
          <w:szCs w:val="24"/>
        </w:rPr>
      </w:pPr>
      <w:r w:rsidRPr="001F6A49">
        <w:rPr>
          <w:b/>
          <w:bCs/>
          <w:sz w:val="24"/>
          <w:szCs w:val="24"/>
        </w:rPr>
        <w:t>Title:</w:t>
      </w:r>
      <w:r w:rsidRPr="001F6A49">
        <w:rPr>
          <w:b/>
          <w:bCs/>
          <w:sz w:val="24"/>
          <w:szCs w:val="24"/>
        </w:rPr>
        <w:tab/>
      </w:r>
      <w:r w:rsidR="001F6A49">
        <w:rPr>
          <w:b/>
          <w:bCs/>
          <w:sz w:val="24"/>
          <w:szCs w:val="24"/>
        </w:rPr>
        <w:tab/>
      </w:r>
      <w:r w:rsidR="001F6A49">
        <w:rPr>
          <w:b/>
          <w:bCs/>
          <w:sz w:val="24"/>
          <w:szCs w:val="24"/>
        </w:rPr>
        <w:tab/>
      </w:r>
      <w:r w:rsidR="001F6A49">
        <w:rPr>
          <w:b/>
          <w:bCs/>
          <w:sz w:val="24"/>
          <w:szCs w:val="24"/>
        </w:rPr>
        <w:tab/>
      </w:r>
      <w:r w:rsidR="001F6A49">
        <w:rPr>
          <w:b/>
          <w:bCs/>
          <w:sz w:val="24"/>
          <w:szCs w:val="24"/>
        </w:rPr>
        <w:tab/>
      </w:r>
      <w:r w:rsidR="00A64140" w:rsidRPr="001F6A49">
        <w:rPr>
          <w:bCs/>
          <w:sz w:val="24"/>
          <w:szCs w:val="24"/>
        </w:rPr>
        <w:t>Draft TP towards Stage 2 CR on MR DC-CA enhancements</w:t>
      </w:r>
    </w:p>
    <w:p w14:paraId="0B6C4078" w14:textId="03E0E010" w:rsidR="009E2096" w:rsidRPr="001F6A49" w:rsidRDefault="009E2096" w:rsidP="001F6A49">
      <w:pPr>
        <w:pStyle w:val="CRCoverPage"/>
        <w:rPr>
          <w:b/>
          <w:bCs/>
          <w:sz w:val="24"/>
          <w:szCs w:val="24"/>
        </w:rPr>
      </w:pPr>
      <w:r w:rsidRPr="001F6A49">
        <w:rPr>
          <w:b/>
          <w:bCs/>
          <w:sz w:val="24"/>
          <w:szCs w:val="24"/>
        </w:rPr>
        <w:t>Document for:</w:t>
      </w:r>
      <w:r w:rsidRPr="001F6A49">
        <w:rPr>
          <w:b/>
          <w:bCs/>
          <w:sz w:val="24"/>
          <w:szCs w:val="24"/>
        </w:rPr>
        <w:tab/>
      </w:r>
      <w:r w:rsidRPr="001F6A49">
        <w:rPr>
          <w:b/>
          <w:bCs/>
          <w:sz w:val="24"/>
          <w:szCs w:val="24"/>
        </w:rPr>
        <w:tab/>
      </w:r>
      <w:r w:rsidRPr="001F6A49">
        <w:rPr>
          <w:bCs/>
          <w:sz w:val="24"/>
          <w:szCs w:val="24"/>
        </w:rPr>
        <w:t>Discussion</w:t>
      </w:r>
    </w:p>
    <w:p w14:paraId="0D2B1006" w14:textId="77777777" w:rsidR="00EA23A7" w:rsidRPr="00EA23A7" w:rsidRDefault="00EA23A7" w:rsidP="007553DA">
      <w:pPr>
        <w:pStyle w:val="Heading1"/>
        <w:ind w:hanging="858"/>
      </w:pPr>
      <w:r w:rsidRPr="00EA23A7">
        <w:t>Introduction</w:t>
      </w:r>
    </w:p>
    <w:p w14:paraId="67565C14" w14:textId="79F223F5" w:rsidR="00C40860" w:rsidRPr="00B16EA8" w:rsidRDefault="00A64140" w:rsidP="00B16EA8">
      <w:pPr>
        <w:rPr>
          <w:rFonts w:ascii="Times New Roman" w:hAnsi="Times New Roman" w:cs="Times New Roman"/>
          <w:sz w:val="20"/>
          <w:lang w:val="en-GB" w:eastAsia="fi-FI"/>
        </w:rPr>
      </w:pPr>
      <w:r w:rsidRPr="00B16EA8">
        <w:rPr>
          <w:rFonts w:ascii="Times New Roman" w:hAnsi="Times New Roman" w:cs="Times New Roman"/>
          <w:sz w:val="20"/>
          <w:lang w:val="en-GB" w:eastAsia="fi-FI"/>
        </w:rPr>
        <w:t>The updated WID [1] tasks RAN1 to work on 4 separate topics. This contribution initiates the Stage 2 CR drafting, while it is expected that more work is still needed on the design aspects before it is possible to finalize the Stage 2 CR.</w:t>
      </w:r>
    </w:p>
    <w:tbl>
      <w:tblPr>
        <w:tblStyle w:val="TableGrid"/>
        <w:tblW w:w="0" w:type="auto"/>
        <w:tblLook w:val="04A0" w:firstRow="1" w:lastRow="0" w:firstColumn="1" w:lastColumn="0" w:noHBand="0" w:noVBand="1"/>
      </w:tblPr>
      <w:tblGrid>
        <w:gridCol w:w="9629"/>
      </w:tblGrid>
      <w:tr w:rsidR="00C40860" w14:paraId="042D5501" w14:textId="77777777" w:rsidTr="00DD76C6">
        <w:tc>
          <w:tcPr>
            <w:tcW w:w="9629" w:type="dxa"/>
          </w:tcPr>
          <w:p w14:paraId="5DA07AFF" w14:textId="77777777" w:rsidR="00A64140" w:rsidRPr="00B16EA8" w:rsidRDefault="00A64140" w:rsidP="00224092">
            <w:pPr>
              <w:rPr>
                <w:sz w:val="20"/>
              </w:rPr>
            </w:pPr>
            <w:r w:rsidRPr="00B16EA8">
              <w:rPr>
                <w:sz w:val="20"/>
              </w:rPr>
              <w:t>The objective of this work item is to investigate enhancements to DC and CA. At least the following topics should be considered in the work:</w:t>
            </w:r>
          </w:p>
          <w:p w14:paraId="146870A2" w14:textId="77777777" w:rsidR="00A64140" w:rsidRPr="00B16EA8" w:rsidRDefault="00A64140" w:rsidP="00A814F3">
            <w:pPr>
              <w:pStyle w:val="ListParagraph"/>
              <w:numPr>
                <w:ilvl w:val="0"/>
                <w:numId w:val="6"/>
              </w:numPr>
              <w:rPr>
                <w:b/>
                <w:sz w:val="20"/>
              </w:rPr>
            </w:pPr>
            <w:bookmarkStart w:id="2" w:name="_Hlk516787901"/>
            <w:r w:rsidRPr="00B16EA8">
              <w:rPr>
                <w:b/>
                <w:sz w:val="20"/>
                <w:highlight w:val="yellow"/>
              </w:rPr>
              <w:t>Support of asynchronous and synchronous NR-NR Dual Connectivity [RAN1, RAN2, RAN4</w:t>
            </w:r>
            <w:r w:rsidRPr="00B16EA8">
              <w:rPr>
                <w:b/>
                <w:sz w:val="20"/>
              </w:rPr>
              <w:t>]</w:t>
            </w:r>
          </w:p>
          <w:p w14:paraId="05B5B1D3" w14:textId="77777777" w:rsidR="00A64140" w:rsidRPr="00B16EA8" w:rsidRDefault="00A64140" w:rsidP="00A814F3">
            <w:pPr>
              <w:pStyle w:val="ListParagraph"/>
              <w:numPr>
                <w:ilvl w:val="1"/>
                <w:numId w:val="6"/>
              </w:numPr>
              <w:rPr>
                <w:sz w:val="20"/>
                <w:highlight w:val="yellow"/>
              </w:rPr>
            </w:pPr>
            <w:r w:rsidRPr="00B16EA8">
              <w:rPr>
                <w:sz w:val="20"/>
                <w:highlight w:val="yellow"/>
              </w:rPr>
              <w:t>UE power control [RAN1]</w:t>
            </w:r>
          </w:p>
          <w:p w14:paraId="26739D42" w14:textId="77777777" w:rsidR="00A64140" w:rsidRPr="00B16EA8" w:rsidRDefault="00A64140" w:rsidP="00A814F3">
            <w:pPr>
              <w:pStyle w:val="ListParagraph"/>
              <w:numPr>
                <w:ilvl w:val="1"/>
                <w:numId w:val="6"/>
              </w:numPr>
              <w:rPr>
                <w:sz w:val="20"/>
              </w:rPr>
            </w:pPr>
            <w:r w:rsidRPr="00B16EA8">
              <w:rPr>
                <w:sz w:val="20"/>
              </w:rPr>
              <w:t xml:space="preserve">RRC </w:t>
            </w:r>
            <w:proofErr w:type="spellStart"/>
            <w:r w:rsidRPr="00B16EA8">
              <w:rPr>
                <w:sz w:val="20"/>
              </w:rPr>
              <w:t>signalling</w:t>
            </w:r>
            <w:proofErr w:type="spellEnd"/>
            <w:r w:rsidRPr="00B16EA8">
              <w:rPr>
                <w:sz w:val="20"/>
              </w:rPr>
              <w:t xml:space="preserve"> to support of enhanced NR-NR DC [RAN2]</w:t>
            </w:r>
          </w:p>
          <w:p w14:paraId="3C64A9E5" w14:textId="77777777" w:rsidR="00A64140" w:rsidRPr="00B16EA8" w:rsidRDefault="00A64140" w:rsidP="00A814F3">
            <w:pPr>
              <w:pStyle w:val="ListParagraph"/>
              <w:numPr>
                <w:ilvl w:val="1"/>
                <w:numId w:val="6"/>
              </w:numPr>
              <w:spacing w:after="0"/>
              <w:rPr>
                <w:sz w:val="20"/>
              </w:rPr>
            </w:pPr>
            <w:r w:rsidRPr="00B16EA8">
              <w:rPr>
                <w:sz w:val="20"/>
              </w:rPr>
              <w:t>Core requirements to support enhanced NR-NR DC [RAN4]</w:t>
            </w:r>
          </w:p>
          <w:p w14:paraId="7CD68384" w14:textId="77777777" w:rsidR="00A64140" w:rsidRPr="00B16EA8" w:rsidRDefault="00A64140" w:rsidP="00224092">
            <w:pPr>
              <w:rPr>
                <w:sz w:val="20"/>
              </w:rPr>
            </w:pPr>
            <w:r w:rsidRPr="00B16EA8">
              <w:rPr>
                <w:sz w:val="20"/>
              </w:rPr>
              <w:t xml:space="preserve">Note: Synchronous DC enhancements in this WID considers only cases not covered in Rel-15 exception sheet for NR WI </w:t>
            </w:r>
            <w:proofErr w:type="spellStart"/>
            <w:r w:rsidRPr="00B16EA8">
              <w:rPr>
                <w:sz w:val="20"/>
              </w:rPr>
              <w:t>NR_newRAT</w:t>
            </w:r>
            <w:proofErr w:type="spellEnd"/>
            <w:r w:rsidRPr="00B16EA8">
              <w:rPr>
                <w:sz w:val="20"/>
              </w:rPr>
              <w:t xml:space="preserve">-Core. </w:t>
            </w:r>
          </w:p>
          <w:bookmarkEnd w:id="2"/>
          <w:p w14:paraId="56B6D9C4" w14:textId="77777777" w:rsidR="00A64140" w:rsidRPr="00B16EA8" w:rsidRDefault="00A64140" w:rsidP="00A814F3">
            <w:pPr>
              <w:pStyle w:val="ListParagraph"/>
              <w:numPr>
                <w:ilvl w:val="0"/>
                <w:numId w:val="6"/>
              </w:numPr>
              <w:rPr>
                <w:sz w:val="20"/>
              </w:rPr>
            </w:pPr>
            <w:r w:rsidRPr="00B16EA8">
              <w:rPr>
                <w:b/>
                <w:sz w:val="20"/>
              </w:rPr>
              <w:t xml:space="preserve">Early Measurement reporting: </w:t>
            </w:r>
            <w:r w:rsidRPr="00B16EA8">
              <w:rPr>
                <w:sz w:val="20"/>
              </w:rPr>
              <w:t>Early and fast reporting of measurements information availability from neighbor and serving cells to reduce delay setting up MR-DC and/or CA. [RAN2, RAN4]</w:t>
            </w:r>
          </w:p>
          <w:p w14:paraId="3FCD08A6" w14:textId="77777777" w:rsidR="00A64140" w:rsidRPr="00B16EA8" w:rsidRDefault="00A64140" w:rsidP="00A814F3">
            <w:pPr>
              <w:pStyle w:val="ListParagraph"/>
              <w:numPr>
                <w:ilvl w:val="1"/>
                <w:numId w:val="6"/>
              </w:numPr>
              <w:rPr>
                <w:sz w:val="20"/>
              </w:rPr>
            </w:pPr>
            <w:r w:rsidRPr="00B16EA8">
              <w:rPr>
                <w:sz w:val="20"/>
              </w:rPr>
              <w:t>This objective applies to MR-DC, NR-NR DC and CA</w:t>
            </w:r>
          </w:p>
          <w:p w14:paraId="37D196FB" w14:textId="77777777" w:rsidR="00A64140" w:rsidRPr="00B16EA8" w:rsidRDefault="00A64140" w:rsidP="00A814F3">
            <w:pPr>
              <w:pStyle w:val="ListParagraph"/>
              <w:numPr>
                <w:ilvl w:val="1"/>
                <w:numId w:val="6"/>
              </w:numPr>
              <w:rPr>
                <w:sz w:val="20"/>
              </w:rPr>
            </w:pPr>
            <w:r w:rsidRPr="00B16EA8">
              <w:rPr>
                <w:sz w:val="20"/>
              </w:rPr>
              <w:t>The objective should consider measurements in IDLE, INACTIVE mode and CONNECTED mode</w:t>
            </w:r>
          </w:p>
          <w:p w14:paraId="7E99EA61" w14:textId="77777777" w:rsidR="00A64140" w:rsidRPr="00B16EA8" w:rsidRDefault="00A64140" w:rsidP="00A814F3">
            <w:pPr>
              <w:pStyle w:val="ListParagraph"/>
              <w:numPr>
                <w:ilvl w:val="1"/>
                <w:numId w:val="6"/>
              </w:numPr>
              <w:rPr>
                <w:sz w:val="20"/>
              </w:rPr>
            </w:pPr>
            <w:r w:rsidRPr="00B16EA8">
              <w:rPr>
                <w:sz w:val="20"/>
              </w:rPr>
              <w:t>The impacts on UE power consumption should be minimized</w:t>
            </w:r>
          </w:p>
          <w:p w14:paraId="71C18B37" w14:textId="77777777" w:rsidR="00A64140" w:rsidRPr="00B16EA8" w:rsidRDefault="00A64140" w:rsidP="00A814F3">
            <w:pPr>
              <w:pStyle w:val="ListParagraph"/>
              <w:numPr>
                <w:ilvl w:val="1"/>
                <w:numId w:val="6"/>
              </w:numPr>
              <w:rPr>
                <w:sz w:val="20"/>
              </w:rPr>
            </w:pPr>
            <w:r w:rsidRPr="00B16EA8">
              <w:rPr>
                <w:sz w:val="20"/>
              </w:rPr>
              <w:t xml:space="preserve">The LTE Rel-15 </w:t>
            </w:r>
            <w:proofErr w:type="spellStart"/>
            <w:r w:rsidRPr="00B16EA8">
              <w:rPr>
                <w:sz w:val="20"/>
              </w:rPr>
              <w:t>euCA</w:t>
            </w:r>
            <w:proofErr w:type="spellEnd"/>
            <w:r w:rsidRPr="00B16EA8">
              <w:rPr>
                <w:sz w:val="20"/>
              </w:rPr>
              <w:t xml:space="preserve"> work should be utilized, when applicable</w:t>
            </w:r>
          </w:p>
          <w:p w14:paraId="7E3937FF" w14:textId="77777777" w:rsidR="00A64140" w:rsidRPr="00B16EA8" w:rsidRDefault="00A64140" w:rsidP="00A814F3">
            <w:pPr>
              <w:pStyle w:val="ListParagraph"/>
              <w:numPr>
                <w:ilvl w:val="0"/>
                <w:numId w:val="6"/>
              </w:numPr>
              <w:spacing w:before="240"/>
              <w:rPr>
                <w:sz w:val="20"/>
                <w:highlight w:val="yellow"/>
              </w:rPr>
            </w:pPr>
            <w:r w:rsidRPr="00B16EA8">
              <w:rPr>
                <w:b/>
                <w:sz w:val="20"/>
                <w:highlight w:val="yellow"/>
              </w:rPr>
              <w:t>Efficient and low latency serving cell configuration/activation/setup:</w:t>
            </w:r>
            <w:r w:rsidRPr="00B16EA8">
              <w:rPr>
                <w:sz w:val="20"/>
                <w:highlight w:val="yellow"/>
              </w:rPr>
              <w:t xml:space="preserve"> Minimizing </w:t>
            </w:r>
            <w:proofErr w:type="spellStart"/>
            <w:r w:rsidRPr="00B16EA8">
              <w:rPr>
                <w:sz w:val="20"/>
                <w:highlight w:val="yellow"/>
              </w:rPr>
              <w:t>signalling</w:t>
            </w:r>
            <w:proofErr w:type="spellEnd"/>
            <w:r w:rsidRPr="00B16EA8">
              <w:rPr>
                <w:sz w:val="20"/>
                <w:highlight w:val="yellow"/>
              </w:rPr>
              <w:t xml:space="preserve"> overhead and latency needed for initial cell setup, additional cell setup and additional cell activation for data transmission. [RAN2, RAN1, RAN4, RAN3]</w:t>
            </w:r>
          </w:p>
          <w:p w14:paraId="74262C11" w14:textId="77777777" w:rsidR="00A64140" w:rsidRPr="00B16EA8" w:rsidRDefault="00A64140" w:rsidP="00A814F3">
            <w:pPr>
              <w:pStyle w:val="ListParagraph"/>
              <w:numPr>
                <w:ilvl w:val="1"/>
                <w:numId w:val="6"/>
              </w:numPr>
              <w:rPr>
                <w:sz w:val="20"/>
              </w:rPr>
            </w:pPr>
            <w:r w:rsidRPr="00B16EA8">
              <w:rPr>
                <w:sz w:val="20"/>
              </w:rPr>
              <w:t>This objective applies to MR-DC, NR-NR DC and CA</w:t>
            </w:r>
          </w:p>
          <w:p w14:paraId="777580E2" w14:textId="77777777" w:rsidR="00A64140" w:rsidRPr="00B16EA8" w:rsidRDefault="00A64140" w:rsidP="00A814F3">
            <w:pPr>
              <w:pStyle w:val="ListParagraph"/>
              <w:numPr>
                <w:ilvl w:val="1"/>
                <w:numId w:val="6"/>
              </w:numPr>
              <w:rPr>
                <w:sz w:val="20"/>
              </w:rPr>
            </w:pPr>
            <w:r w:rsidRPr="00B16EA8">
              <w:rPr>
                <w:sz w:val="20"/>
              </w:rPr>
              <w:t>The objective should consider enhancements when starting from IDLE, INACTIVE mode and CONNECTED mode</w:t>
            </w:r>
          </w:p>
          <w:p w14:paraId="1671A30F" w14:textId="77777777" w:rsidR="00A64140" w:rsidRPr="00B16EA8" w:rsidRDefault="00A64140" w:rsidP="00A814F3">
            <w:pPr>
              <w:pStyle w:val="ListParagraph"/>
              <w:numPr>
                <w:ilvl w:val="0"/>
                <w:numId w:val="6"/>
              </w:numPr>
              <w:rPr>
                <w:bCs/>
                <w:sz w:val="20"/>
              </w:rPr>
            </w:pPr>
            <w:r w:rsidRPr="00B16EA8">
              <w:rPr>
                <w:b/>
                <w:sz w:val="20"/>
              </w:rPr>
              <w:t xml:space="preserve">Fast recovery: </w:t>
            </w:r>
            <w:r w:rsidRPr="00B16EA8">
              <w:rPr>
                <w:sz w:val="20"/>
              </w:rPr>
              <w:t>Support fast recovery of MCG link e.g. by utilizing the SCG link and split SRBs for recovery during MCG failure while operating under MR-DC. [RAN2, RAN3]</w:t>
            </w:r>
          </w:p>
          <w:p w14:paraId="20892608" w14:textId="77777777" w:rsidR="00A64140" w:rsidRPr="00B16EA8" w:rsidRDefault="00A64140" w:rsidP="00A814F3">
            <w:pPr>
              <w:pStyle w:val="ListParagraph"/>
              <w:numPr>
                <w:ilvl w:val="1"/>
                <w:numId w:val="6"/>
              </w:numPr>
              <w:rPr>
                <w:sz w:val="20"/>
              </w:rPr>
            </w:pPr>
            <w:r w:rsidRPr="00B16EA8">
              <w:rPr>
                <w:sz w:val="20"/>
              </w:rPr>
              <w:t>This objective applies to MR-DC and NR-NR DC</w:t>
            </w:r>
          </w:p>
          <w:p w14:paraId="27FFEEA5" w14:textId="77777777" w:rsidR="00A64140" w:rsidRPr="00B16EA8" w:rsidRDefault="00A64140" w:rsidP="00A814F3">
            <w:pPr>
              <w:pStyle w:val="ListParagraph"/>
              <w:numPr>
                <w:ilvl w:val="0"/>
                <w:numId w:val="6"/>
              </w:numPr>
              <w:rPr>
                <w:sz w:val="20"/>
                <w:highlight w:val="yellow"/>
              </w:rPr>
            </w:pPr>
            <w:r w:rsidRPr="00B16EA8">
              <w:rPr>
                <w:b/>
                <w:sz w:val="20"/>
                <w:highlight w:val="yellow"/>
              </w:rPr>
              <w:t>Cross-carrier scheduling with different numerologies</w:t>
            </w:r>
            <w:r w:rsidRPr="00B16EA8">
              <w:rPr>
                <w:sz w:val="20"/>
                <w:highlight w:val="yellow"/>
              </w:rPr>
              <w:t xml:space="preserve"> on the scheduling and scheduled carriers [RAN1, RAN2, RAN4]</w:t>
            </w:r>
          </w:p>
          <w:p w14:paraId="2072EAB0" w14:textId="77777777" w:rsidR="00A64140" w:rsidRPr="00B16EA8" w:rsidRDefault="00A64140" w:rsidP="00A814F3">
            <w:pPr>
              <w:pStyle w:val="ListParagraph"/>
              <w:numPr>
                <w:ilvl w:val="1"/>
                <w:numId w:val="6"/>
              </w:numPr>
              <w:rPr>
                <w:sz w:val="20"/>
              </w:rPr>
            </w:pPr>
            <w:r w:rsidRPr="00B16EA8">
              <w:rPr>
                <w:sz w:val="20"/>
              </w:rPr>
              <w:t>This objective applies to CA only.</w:t>
            </w:r>
          </w:p>
          <w:p w14:paraId="73A224FF" w14:textId="77777777" w:rsidR="00A64140" w:rsidRPr="00B16EA8" w:rsidRDefault="00A64140" w:rsidP="00A814F3">
            <w:pPr>
              <w:pStyle w:val="ListParagraph"/>
              <w:numPr>
                <w:ilvl w:val="1"/>
                <w:numId w:val="6"/>
              </w:numPr>
              <w:rPr>
                <w:sz w:val="20"/>
              </w:rPr>
            </w:pPr>
            <w:r w:rsidRPr="00B16EA8">
              <w:rPr>
                <w:sz w:val="20"/>
              </w:rPr>
              <w:t>Target completion by RAN#84.</w:t>
            </w:r>
          </w:p>
          <w:p w14:paraId="6F32A881" w14:textId="77777777" w:rsidR="00A64140" w:rsidRPr="00B16EA8" w:rsidRDefault="00A64140" w:rsidP="00A814F3">
            <w:pPr>
              <w:pStyle w:val="ListParagraph"/>
              <w:numPr>
                <w:ilvl w:val="0"/>
                <w:numId w:val="6"/>
              </w:numPr>
              <w:spacing w:after="0"/>
              <w:rPr>
                <w:sz w:val="20"/>
                <w:highlight w:val="yellow"/>
              </w:rPr>
            </w:pPr>
            <w:r w:rsidRPr="00B16EA8">
              <w:rPr>
                <w:sz w:val="20"/>
                <w:highlight w:val="yellow"/>
              </w:rPr>
              <w:t>Study and, if found beneficial over the existing single Tx switched uplink solution, specify enhancements to single Tx switched uplink solution for EN-DC, such as allowing all DL and UL subframes for data transmission for both NR and LTE. [RAN1].</w:t>
            </w:r>
          </w:p>
          <w:p w14:paraId="27C32348" w14:textId="284AAEA5" w:rsidR="00C40860" w:rsidRPr="00A64140" w:rsidRDefault="00A64140" w:rsidP="00224092">
            <w:pPr>
              <w:spacing w:after="0"/>
            </w:pPr>
            <w:r w:rsidRPr="00B16EA8">
              <w:rPr>
                <w:sz w:val="20"/>
              </w:rPr>
              <w:t>Note: UE in single Tx switched uplink mode is not expected to be scheduled simultaneous transmission on MCG and SCG</w:t>
            </w:r>
          </w:p>
        </w:tc>
      </w:tr>
    </w:tbl>
    <w:p w14:paraId="307D0D97" w14:textId="5E5AC07D" w:rsidR="00B3579D" w:rsidRDefault="00B3579D" w:rsidP="00224092"/>
    <w:p w14:paraId="217B135D" w14:textId="24EB0C2A" w:rsidR="005A6122" w:rsidRDefault="00247017" w:rsidP="00B96119">
      <w:pPr>
        <w:pStyle w:val="Heading1"/>
        <w:ind w:hanging="858"/>
      </w:pPr>
      <w:r>
        <w:lastRenderedPageBreak/>
        <w:t>Scheduling</w:t>
      </w:r>
      <w:r w:rsidR="007D3D39">
        <w:t xml:space="preserve"> t</w:t>
      </w:r>
      <w:r w:rsidR="000F0670" w:rsidRPr="000F0670">
        <w:t xml:space="preserve">imeline for cross-numerology scheduling </w:t>
      </w:r>
    </w:p>
    <w:p w14:paraId="0A5010B2" w14:textId="09E39117" w:rsidR="00571EB1" w:rsidRDefault="00224092" w:rsidP="001F6A49">
      <w:pPr>
        <w:pStyle w:val="Heading2"/>
      </w:pPr>
      <w:r w:rsidRPr="00224092">
        <w:t>Support of asynchronous and synchronous NR-NR D</w:t>
      </w:r>
      <w:r>
        <w:t>C</w:t>
      </w:r>
    </w:p>
    <w:p w14:paraId="7A41CCFC" w14:textId="0996FDEE" w:rsidR="00224092" w:rsidRPr="00B16EA8" w:rsidRDefault="00224092" w:rsidP="00224092">
      <w:pPr>
        <w:rPr>
          <w:rFonts w:ascii="Times New Roman" w:hAnsi="Times New Roman" w:cs="Times New Roman"/>
          <w:sz w:val="20"/>
          <w:lang w:val="en-GB"/>
        </w:rPr>
      </w:pPr>
      <w:r w:rsidRPr="00B16EA8">
        <w:rPr>
          <w:rFonts w:ascii="Times New Roman" w:hAnsi="Times New Roman" w:cs="Times New Roman"/>
          <w:sz w:val="20"/>
          <w:lang w:val="en-GB"/>
        </w:rPr>
        <w:t>Stage 2 specifications are sufficiently high level in Rel-15 that it appears that nothing is needed for the FR1-FR1 DC in Stage 2.</w:t>
      </w:r>
    </w:p>
    <w:p w14:paraId="799411E1" w14:textId="3765A5FF" w:rsidR="00224092" w:rsidRPr="00224092" w:rsidRDefault="00224092" w:rsidP="00224092">
      <w:pPr>
        <w:pStyle w:val="Caption"/>
        <w:keepNext/>
        <w:jc w:val="center"/>
        <w:rPr>
          <w:lang w:val="en-US"/>
        </w:rPr>
      </w:pPr>
      <w:r w:rsidRPr="00224092">
        <w:rPr>
          <w:lang w:val="en-US"/>
        </w:rPr>
        <w:t>NR-NR dual connectivity in TS38.300 [3]</w:t>
      </w:r>
    </w:p>
    <w:tbl>
      <w:tblPr>
        <w:tblStyle w:val="TableGrid"/>
        <w:tblW w:w="0" w:type="auto"/>
        <w:tblLook w:val="04A0" w:firstRow="1" w:lastRow="0" w:firstColumn="1" w:lastColumn="0" w:noHBand="0" w:noVBand="1"/>
      </w:tblPr>
      <w:tblGrid>
        <w:gridCol w:w="9629"/>
      </w:tblGrid>
      <w:tr w:rsidR="00224092" w14:paraId="3A92E712" w14:textId="77777777" w:rsidTr="00224092">
        <w:tc>
          <w:tcPr>
            <w:tcW w:w="9629" w:type="dxa"/>
          </w:tcPr>
          <w:p w14:paraId="544C08AD" w14:textId="77777777" w:rsidR="00224092" w:rsidRPr="00B16EA8" w:rsidRDefault="00224092" w:rsidP="00224092">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zh-CN"/>
              </w:rPr>
            </w:pPr>
            <w:bookmarkStart w:id="3" w:name="_Toc5707172"/>
            <w:r w:rsidRPr="00B16EA8">
              <w:rPr>
                <w:rFonts w:ascii="Arial" w:eastAsia="Times New Roman" w:hAnsi="Arial"/>
                <w:sz w:val="28"/>
                <w:lang w:val="en-GB" w:eastAsia="zh-CN"/>
              </w:rPr>
              <w:t>6.8</w:t>
            </w:r>
            <w:r w:rsidRPr="00B16EA8">
              <w:rPr>
                <w:rFonts w:ascii="Arial" w:eastAsia="Times New Roman" w:hAnsi="Arial"/>
                <w:sz w:val="28"/>
                <w:lang w:val="en-GB" w:eastAsia="zh-CN"/>
              </w:rPr>
              <w:tab/>
              <w:t>Dual Connectivity</w:t>
            </w:r>
            <w:bookmarkEnd w:id="3"/>
          </w:p>
          <w:p w14:paraId="5D87B761" w14:textId="03B4222F" w:rsidR="00224092" w:rsidRPr="00B16EA8" w:rsidRDefault="00224092" w:rsidP="00224092">
            <w:pPr>
              <w:overflowPunct w:val="0"/>
              <w:autoSpaceDE w:val="0"/>
              <w:autoSpaceDN w:val="0"/>
              <w:adjustRightInd w:val="0"/>
              <w:spacing w:after="180" w:line="240" w:lineRule="auto"/>
              <w:textAlignment w:val="baseline"/>
              <w:rPr>
                <w:rFonts w:ascii="Times New Roman" w:eastAsia="Times New Roman" w:hAnsi="Times New Roman" w:cs="Times New Roman"/>
                <w:lang w:val="en-GB" w:eastAsia="ja-JP"/>
              </w:rPr>
            </w:pPr>
            <w:r w:rsidRPr="00B16EA8">
              <w:rPr>
                <w:rFonts w:ascii="Times New Roman" w:eastAsia="Times New Roman" w:hAnsi="Times New Roman" w:cs="Times New Roman"/>
                <w:sz w:val="20"/>
                <w:lang w:val="en-GB" w:eastAsia="zh-CN"/>
              </w:rPr>
              <w:t xml:space="preserve">When the UE is configured with SCG, the UE is configured with two MAC entities: one MAC entity for the MCG and one MAC entity for the SCG. </w:t>
            </w:r>
            <w:r w:rsidRPr="00B16EA8">
              <w:rPr>
                <w:rFonts w:ascii="Times New Roman" w:eastAsia="Times New Roman" w:hAnsi="Times New Roman" w:cs="Times New Roman"/>
                <w:sz w:val="20"/>
                <w:lang w:val="en-GB" w:eastAsia="ja-JP"/>
              </w:rPr>
              <w:t>Further details of DC operation can be found in TS 37.340 [21].</w:t>
            </w:r>
          </w:p>
        </w:tc>
      </w:tr>
    </w:tbl>
    <w:p w14:paraId="009850FB" w14:textId="6910B999" w:rsidR="00224092" w:rsidRDefault="00224092" w:rsidP="00224092">
      <w:pPr>
        <w:rPr>
          <w:lang w:val="en-GB"/>
        </w:rPr>
      </w:pPr>
    </w:p>
    <w:p w14:paraId="386756B5" w14:textId="14385E01" w:rsidR="00224092" w:rsidRPr="00224092" w:rsidRDefault="00224092" w:rsidP="00224092">
      <w:pPr>
        <w:pStyle w:val="Caption"/>
        <w:keepNext/>
        <w:jc w:val="center"/>
        <w:rPr>
          <w:lang w:val="en-US"/>
        </w:rPr>
      </w:pPr>
      <w:r w:rsidRPr="00224092">
        <w:rPr>
          <w:lang w:val="en-US"/>
        </w:rPr>
        <w:t>NR-NR dual connectivity in TS3</w:t>
      </w:r>
      <w:r>
        <w:rPr>
          <w:lang w:val="en-US"/>
        </w:rPr>
        <w:t>7</w:t>
      </w:r>
      <w:r w:rsidRPr="00224092">
        <w:rPr>
          <w:lang w:val="en-US"/>
        </w:rPr>
        <w:t>.3</w:t>
      </w:r>
      <w:r>
        <w:rPr>
          <w:lang w:val="en-US"/>
        </w:rPr>
        <w:t>4</w:t>
      </w:r>
      <w:r w:rsidRPr="00224092">
        <w:rPr>
          <w:lang w:val="en-US"/>
        </w:rPr>
        <w:t>0 [</w:t>
      </w:r>
      <w:r>
        <w:rPr>
          <w:lang w:val="en-US"/>
        </w:rPr>
        <w:t>4</w:t>
      </w:r>
      <w:r w:rsidRPr="00224092">
        <w:rPr>
          <w:lang w:val="en-US"/>
        </w:rPr>
        <w:t>]</w:t>
      </w:r>
    </w:p>
    <w:tbl>
      <w:tblPr>
        <w:tblStyle w:val="TableGrid"/>
        <w:tblW w:w="0" w:type="auto"/>
        <w:tblLook w:val="04A0" w:firstRow="1" w:lastRow="0" w:firstColumn="1" w:lastColumn="0" w:noHBand="0" w:noVBand="1"/>
      </w:tblPr>
      <w:tblGrid>
        <w:gridCol w:w="9629"/>
      </w:tblGrid>
      <w:tr w:rsidR="00224092" w14:paraId="1782C4F5" w14:textId="77777777" w:rsidTr="008C4D01">
        <w:tc>
          <w:tcPr>
            <w:tcW w:w="9629" w:type="dxa"/>
          </w:tcPr>
          <w:p w14:paraId="0771C058" w14:textId="77777777" w:rsidR="00224092" w:rsidRPr="00B16EA8" w:rsidRDefault="00224092" w:rsidP="00224092">
            <w:pPr>
              <w:keepNext/>
              <w:keepLines/>
              <w:overflowPunct w:val="0"/>
              <w:autoSpaceDE w:val="0"/>
              <w:autoSpaceDN w:val="0"/>
              <w:adjustRightInd w:val="0"/>
              <w:spacing w:before="120" w:after="180" w:line="240" w:lineRule="auto"/>
              <w:textAlignment w:val="baseline"/>
              <w:outlineLvl w:val="3"/>
              <w:rPr>
                <w:rFonts w:ascii="Arial" w:eastAsia="Times New Roman" w:hAnsi="Arial"/>
                <w:lang w:val="en-GB" w:eastAsia="x-none"/>
              </w:rPr>
            </w:pPr>
            <w:bookmarkStart w:id="4" w:name="_Toc5705121"/>
            <w:r w:rsidRPr="00B16EA8">
              <w:rPr>
                <w:rFonts w:ascii="Arial" w:eastAsia="Times New Roman" w:hAnsi="Arial"/>
                <w:lang w:val="en-GB" w:eastAsia="x-none"/>
              </w:rPr>
              <w:t>4.1.3.3</w:t>
            </w:r>
            <w:r w:rsidRPr="00B16EA8">
              <w:rPr>
                <w:rFonts w:ascii="Arial" w:eastAsia="Times New Roman" w:hAnsi="Arial"/>
                <w:lang w:val="en-GB" w:eastAsia="x-none"/>
              </w:rPr>
              <w:tab/>
              <w:t>NR-NR Dual Connectivity</w:t>
            </w:r>
            <w:bookmarkEnd w:id="4"/>
          </w:p>
          <w:p w14:paraId="4D36646A" w14:textId="536D4045" w:rsidR="00224092" w:rsidRPr="00B16EA8" w:rsidRDefault="00224092"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zh-CN"/>
              </w:rPr>
            </w:pPr>
            <w:r w:rsidRPr="00B16EA8">
              <w:rPr>
                <w:rFonts w:ascii="Times New Roman" w:eastAsia="Times New Roman" w:hAnsi="Times New Roman" w:cs="Times New Roman"/>
                <w:sz w:val="20"/>
                <w:lang w:val="en-GB" w:eastAsia="ja-JP"/>
              </w:rPr>
              <w:t>NG-RAN supports NR-</w:t>
            </w:r>
            <w:r w:rsidRPr="00B16EA8">
              <w:rPr>
                <w:rFonts w:ascii="Times New Roman" w:eastAsia="Times New Roman" w:hAnsi="Times New Roman" w:cs="Times New Roman"/>
                <w:sz w:val="20"/>
                <w:lang w:val="en-GB" w:eastAsia="zh-CN"/>
              </w:rPr>
              <w:t>NR</w:t>
            </w:r>
            <w:r w:rsidRPr="00B16EA8">
              <w:rPr>
                <w:rFonts w:ascii="Times New Roman" w:eastAsia="Times New Roman" w:hAnsi="Times New Roman" w:cs="Times New Roman"/>
                <w:sz w:val="20"/>
                <w:lang w:val="en-GB" w:eastAsia="ja-JP"/>
              </w:rPr>
              <w:t xml:space="preserve"> Dual Connectivity (N</w:t>
            </w:r>
            <w:r w:rsidRPr="00B16EA8">
              <w:rPr>
                <w:rFonts w:ascii="Times New Roman" w:eastAsia="Times New Roman" w:hAnsi="Times New Roman" w:cs="Times New Roman"/>
                <w:sz w:val="20"/>
                <w:lang w:val="en-GB" w:eastAsia="zh-CN"/>
              </w:rPr>
              <w:t>R</w:t>
            </w:r>
            <w:r w:rsidRPr="00B16EA8">
              <w:rPr>
                <w:rFonts w:ascii="Times New Roman" w:eastAsia="Times New Roman" w:hAnsi="Times New Roman" w:cs="Times New Roman"/>
                <w:sz w:val="20"/>
                <w:lang w:val="en-GB" w:eastAsia="ja-JP"/>
              </w:rPr>
              <w:t>-DC)</w:t>
            </w:r>
            <w:r w:rsidRPr="00B16EA8">
              <w:rPr>
                <w:rFonts w:ascii="Times New Roman" w:eastAsia="Times New Roman" w:hAnsi="Times New Roman" w:cs="Times New Roman"/>
                <w:sz w:val="20"/>
                <w:lang w:val="en-GB" w:eastAsia="zh-CN"/>
              </w:rPr>
              <w:t xml:space="preserve">, in which a </w:t>
            </w:r>
            <w:r w:rsidRPr="00B16EA8">
              <w:rPr>
                <w:rFonts w:ascii="Times New Roman" w:eastAsia="Times New Roman" w:hAnsi="Times New Roman" w:cs="Times New Roman"/>
                <w:sz w:val="20"/>
                <w:lang w:val="en-GB" w:eastAsia="ja-JP"/>
              </w:rPr>
              <w:t xml:space="preserve">UE is connected to one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that acts as a MN and </w:t>
            </w:r>
            <w:r w:rsidRPr="00B16EA8">
              <w:rPr>
                <w:rFonts w:ascii="Times New Roman" w:eastAsia="Times New Roman" w:hAnsi="Times New Roman" w:cs="Times New Roman"/>
                <w:sz w:val="20"/>
                <w:lang w:val="en-GB" w:eastAsia="zh-CN"/>
              </w:rPr>
              <w:t>another</w:t>
            </w:r>
            <w:r w:rsidRPr="00B16EA8">
              <w:rPr>
                <w:rFonts w:ascii="Times New Roman" w:eastAsia="Times New Roman" w:hAnsi="Times New Roman" w:cs="Times New Roman"/>
                <w:sz w:val="20"/>
                <w:lang w:val="en-GB" w:eastAsia="ja-JP"/>
              </w:rPr>
              <w:t xml:space="preserve"> </w:t>
            </w:r>
            <w:proofErr w:type="spellStart"/>
            <w:r w:rsidRPr="00B16EA8">
              <w:rPr>
                <w:rFonts w:ascii="Times New Roman" w:eastAsia="Times New Roman" w:hAnsi="Times New Roman" w:cs="Times New Roman"/>
                <w:sz w:val="20"/>
                <w:lang w:val="en-GB" w:eastAsia="zh-CN"/>
              </w:rPr>
              <w:t>g</w:t>
            </w:r>
            <w:r w:rsidRPr="00B16EA8">
              <w:rPr>
                <w:rFonts w:ascii="Times New Roman" w:eastAsia="Times New Roman" w:hAnsi="Times New Roman" w:cs="Times New Roman"/>
                <w:sz w:val="20"/>
                <w:lang w:val="en-GB" w:eastAsia="ja-JP"/>
              </w:rPr>
              <w:t>NB</w:t>
            </w:r>
            <w:proofErr w:type="spellEnd"/>
            <w:r w:rsidRPr="00B16EA8">
              <w:rPr>
                <w:rFonts w:ascii="Times New Roman" w:eastAsia="Times New Roman" w:hAnsi="Times New Roman" w:cs="Times New Roman"/>
                <w:sz w:val="20"/>
                <w:lang w:val="en-GB" w:eastAsia="ja-JP"/>
              </w:rPr>
              <w:t xml:space="preserve"> that acts as a SN. The </w:t>
            </w:r>
            <w:r w:rsidRPr="00B16EA8">
              <w:rPr>
                <w:rFonts w:ascii="Times New Roman" w:eastAsia="Times New Roman" w:hAnsi="Times New Roman" w:cs="Times New Roman"/>
                <w:sz w:val="20"/>
                <w:lang w:val="en-GB" w:eastAsia="zh-CN"/>
              </w:rPr>
              <w:t xml:space="preserve">master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is connected to the 5GC via the NG interface and to the </w:t>
            </w:r>
            <w:r w:rsidRPr="00B16EA8">
              <w:rPr>
                <w:rFonts w:ascii="Times New Roman" w:eastAsia="Times New Roman" w:hAnsi="Times New Roman" w:cs="Times New Roman"/>
                <w:sz w:val="20"/>
                <w:lang w:val="en-GB" w:eastAsia="zh-CN"/>
              </w:rPr>
              <w:t xml:space="preserve">secondary </w:t>
            </w:r>
            <w:proofErr w:type="spellStart"/>
            <w:r w:rsidRPr="00B16EA8">
              <w:rPr>
                <w:rFonts w:ascii="Times New Roman" w:eastAsia="Times New Roman" w:hAnsi="Times New Roman" w:cs="Times New Roman"/>
                <w:sz w:val="20"/>
                <w:lang w:val="en-GB" w:eastAsia="zh-CN"/>
              </w:rPr>
              <w:t>g</w:t>
            </w:r>
            <w:r w:rsidRPr="00B16EA8">
              <w:rPr>
                <w:rFonts w:ascii="Times New Roman" w:eastAsia="Times New Roman" w:hAnsi="Times New Roman" w:cs="Times New Roman"/>
                <w:sz w:val="20"/>
                <w:lang w:val="en-GB" w:eastAsia="ja-JP"/>
              </w:rPr>
              <w:t>NB</w:t>
            </w:r>
            <w:proofErr w:type="spellEnd"/>
            <w:r w:rsidRPr="00B16EA8">
              <w:rPr>
                <w:rFonts w:ascii="Times New Roman" w:eastAsia="Times New Roman" w:hAnsi="Times New Roman" w:cs="Times New Roman"/>
                <w:sz w:val="20"/>
                <w:lang w:val="en-GB" w:eastAsia="ja-JP"/>
              </w:rPr>
              <w:t xml:space="preserve"> via the </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 interface.</w:t>
            </w:r>
            <w:r w:rsidRPr="00B16EA8">
              <w:rPr>
                <w:rFonts w:ascii="Times New Roman" w:eastAsia="Times New Roman" w:hAnsi="Times New Roman" w:cs="Times New Roman"/>
                <w:sz w:val="20"/>
                <w:lang w:val="en-GB" w:eastAsia="zh-CN"/>
              </w:rPr>
              <w:t xml:space="preserve"> </w:t>
            </w:r>
            <w:r w:rsidRPr="00B16EA8">
              <w:rPr>
                <w:rFonts w:ascii="Times New Roman" w:eastAsia="Times New Roman" w:hAnsi="Times New Roman" w:cs="Times New Roman"/>
                <w:sz w:val="20"/>
                <w:lang w:val="en-GB" w:eastAsia="ja-JP"/>
              </w:rPr>
              <w:t xml:space="preserve">The secondary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might also be connected to the 5GC via the NG-U interface. </w:t>
            </w:r>
            <w:r w:rsidRPr="00B16EA8">
              <w:rPr>
                <w:rFonts w:ascii="Times New Roman" w:eastAsia="Times New Roman" w:hAnsi="Times New Roman" w:cs="Times New Roman"/>
                <w:sz w:val="20"/>
                <w:lang w:val="en-GB" w:eastAsia="zh-CN"/>
              </w:rPr>
              <w:t xml:space="preserve">In addition, NR-DC can also be used when a UE is connected to two </w:t>
            </w:r>
            <w:proofErr w:type="spellStart"/>
            <w:r w:rsidRPr="00B16EA8">
              <w:rPr>
                <w:rFonts w:ascii="Times New Roman" w:eastAsia="Times New Roman" w:hAnsi="Times New Roman" w:cs="Times New Roman"/>
                <w:sz w:val="20"/>
                <w:lang w:val="en-GB" w:eastAsia="zh-CN"/>
              </w:rPr>
              <w:t>gNB</w:t>
            </w:r>
            <w:proofErr w:type="spellEnd"/>
            <w:r w:rsidRPr="00B16EA8">
              <w:rPr>
                <w:rFonts w:ascii="Times New Roman" w:eastAsia="Times New Roman" w:hAnsi="Times New Roman" w:cs="Times New Roman"/>
                <w:sz w:val="20"/>
                <w:lang w:val="en-GB" w:eastAsia="zh-CN"/>
              </w:rPr>
              <w:t xml:space="preserve">-DUs, one serving the MCG and the other serving the SCG, connected to the same </w:t>
            </w:r>
            <w:proofErr w:type="spellStart"/>
            <w:r w:rsidRPr="00B16EA8">
              <w:rPr>
                <w:rFonts w:ascii="Times New Roman" w:eastAsia="Times New Roman" w:hAnsi="Times New Roman" w:cs="Times New Roman"/>
                <w:sz w:val="20"/>
                <w:lang w:val="en-GB" w:eastAsia="zh-CN"/>
              </w:rPr>
              <w:t>gNB</w:t>
            </w:r>
            <w:proofErr w:type="spellEnd"/>
            <w:r w:rsidRPr="00B16EA8">
              <w:rPr>
                <w:rFonts w:ascii="Times New Roman" w:eastAsia="Times New Roman" w:hAnsi="Times New Roman" w:cs="Times New Roman"/>
                <w:sz w:val="20"/>
                <w:lang w:val="en-GB" w:eastAsia="zh-CN"/>
              </w:rPr>
              <w:t>-CU, acting both as a MN and as a SN.</w:t>
            </w:r>
          </w:p>
          <w:p w14:paraId="21476E23" w14:textId="02D3DA05" w:rsidR="002E5808" w:rsidRPr="002E5808" w:rsidRDefault="002E5808" w:rsidP="002E5808">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3AB70E79" w14:textId="77777777" w:rsidR="002E5808" w:rsidRPr="00B16EA8" w:rsidRDefault="002E5808" w:rsidP="002E5808">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sz w:val="32"/>
                <w:lang w:val="en-GB" w:eastAsia="ja-JP"/>
              </w:rPr>
            </w:pPr>
            <w:bookmarkStart w:id="5" w:name="_Toc5705134"/>
            <w:r w:rsidRPr="00B16EA8">
              <w:rPr>
                <w:rFonts w:ascii="Arial" w:eastAsia="Times New Roman" w:hAnsi="Arial"/>
                <w:sz w:val="32"/>
                <w:lang w:val="en-GB" w:eastAsia="ja-JP"/>
              </w:rPr>
              <w:t>5</w:t>
            </w:r>
            <w:r w:rsidRPr="00B16EA8">
              <w:rPr>
                <w:rFonts w:ascii="Arial" w:eastAsia="Times New Roman" w:hAnsi="Arial"/>
                <w:sz w:val="32"/>
                <w:lang w:val="en-GB" w:eastAsia="ja-JP"/>
              </w:rPr>
              <w:tab/>
              <w:t>Layer 1 related aspects</w:t>
            </w:r>
            <w:bookmarkEnd w:id="5"/>
          </w:p>
          <w:p w14:paraId="1BB31B3D" w14:textId="77777777" w:rsidR="002E5808" w:rsidRPr="00B16EA8" w:rsidRDefault="002E5808" w:rsidP="002E5808">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268549D" w14:textId="19D3A3B5" w:rsidR="002E5808" w:rsidRPr="00224092" w:rsidRDefault="002E5808"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 xml:space="preserve">A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may configure the same Physical Cell ID (PCI) to more than one NR cell it serves. To avoid PCI confusion for MR-DC, NR PCIs should be allocated in a way that an NR cell is uniquely </w:t>
            </w:r>
            <w:proofErr w:type="spellStart"/>
            <w:r w:rsidRPr="00B16EA8">
              <w:rPr>
                <w:rFonts w:ascii="Times New Roman" w:eastAsia="Times New Roman" w:hAnsi="Times New Roman" w:cs="Times New Roman"/>
                <w:sz w:val="20"/>
                <w:lang w:val="en-GB" w:eastAsia="ja-JP"/>
              </w:rPr>
              <w:t>identifyable</w:t>
            </w:r>
            <w:proofErr w:type="spellEnd"/>
            <w:r w:rsidRPr="00B16EA8">
              <w:rPr>
                <w:rFonts w:ascii="Times New Roman" w:eastAsia="Times New Roman" w:hAnsi="Times New Roman" w:cs="Times New Roman"/>
                <w:sz w:val="20"/>
                <w:lang w:val="en-GB" w:eastAsia="ja-JP"/>
              </w:rPr>
              <w:t xml:space="preserve"> by a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identifier. This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is in the coverage area of an NR cell included in the MR-DC operation. In </w:t>
            </w:r>
            <w:proofErr w:type="spellStart"/>
            <w:r w:rsidRPr="00B16EA8">
              <w:rPr>
                <w:rFonts w:ascii="Times New Roman" w:eastAsia="Times New Roman" w:hAnsi="Times New Roman" w:cs="Times New Roman"/>
                <w:sz w:val="20"/>
                <w:lang w:val="en-GB" w:eastAsia="ja-JP"/>
              </w:rPr>
              <w:t>addtion</w:t>
            </w:r>
            <w:proofErr w:type="spellEnd"/>
            <w:r w:rsidRPr="00B16EA8">
              <w:rPr>
                <w:rFonts w:ascii="Times New Roman" w:eastAsia="Times New Roman" w:hAnsi="Times New Roman" w:cs="Times New Roman"/>
                <w:sz w:val="20"/>
                <w:lang w:val="en-GB" w:eastAsia="ja-JP"/>
              </w:rPr>
              <w:t>, NR PCIs should only be re-used in NR cells on the same SSB frequency sufficiently distant from each other. X2-C/</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-C signalling supports disambiguation of NR PCIs by including the CGI of the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in respective X2AP/</w:t>
            </w:r>
            <w:proofErr w:type="spellStart"/>
            <w:r w:rsidRPr="00B16EA8">
              <w:rPr>
                <w:rFonts w:ascii="Times New Roman" w:eastAsia="Times New Roman" w:hAnsi="Times New Roman" w:cs="Times New Roman"/>
                <w:sz w:val="20"/>
                <w:lang w:val="en-GB" w:eastAsia="ja-JP"/>
              </w:rPr>
              <w:t>XnAP</w:t>
            </w:r>
            <w:proofErr w:type="spellEnd"/>
            <w:r w:rsidRPr="00B16EA8">
              <w:rPr>
                <w:rFonts w:ascii="Times New Roman" w:eastAsia="Times New Roman" w:hAnsi="Times New Roman" w:cs="Times New Roman"/>
                <w:sz w:val="20"/>
                <w:lang w:val="en-GB" w:eastAsia="ja-JP"/>
              </w:rPr>
              <w:t xml:space="preserve"> messages (e.g. SGNB ADDITION REQUEST/S-NODE ADDITION REQUEST) and by providing neighbour cell relationship via non-UE associated </w:t>
            </w:r>
            <w:proofErr w:type="spellStart"/>
            <w:r w:rsidRPr="00B16EA8">
              <w:rPr>
                <w:rFonts w:ascii="Times New Roman" w:eastAsia="Times New Roman" w:hAnsi="Times New Roman" w:cs="Times New Roman"/>
                <w:sz w:val="20"/>
                <w:lang w:val="en-GB" w:eastAsia="ja-JP"/>
              </w:rPr>
              <w:t>signaling</w:t>
            </w:r>
            <w:proofErr w:type="spellEnd"/>
            <w:r w:rsidRPr="00B16EA8">
              <w:rPr>
                <w:rFonts w:ascii="Times New Roman" w:eastAsia="Times New Roman" w:hAnsi="Times New Roman" w:cs="Times New Roman"/>
                <w:sz w:val="20"/>
                <w:lang w:val="en-GB" w:eastAsia="ja-JP"/>
              </w:rPr>
              <w:t xml:space="preserve"> (e.g. via the </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 Setup procedure or the NG-RAN node Configuration Update procedure).</w:t>
            </w:r>
          </w:p>
        </w:tc>
      </w:tr>
    </w:tbl>
    <w:p w14:paraId="0ECAAE25" w14:textId="77777777" w:rsidR="00224092" w:rsidRPr="00224092" w:rsidRDefault="00224092" w:rsidP="00224092">
      <w:pPr>
        <w:rPr>
          <w:lang w:val="en-GB"/>
        </w:rPr>
      </w:pPr>
    </w:p>
    <w:p w14:paraId="41AD0723" w14:textId="55BB6DCD" w:rsidR="00224092" w:rsidRPr="00B16EA8" w:rsidRDefault="002E5808" w:rsidP="00224092">
      <w:pPr>
        <w:rPr>
          <w:rFonts w:ascii="Times New Roman" w:hAnsi="Times New Roman" w:cs="Times New Roman"/>
          <w:sz w:val="20"/>
          <w:szCs w:val="20"/>
          <w:lang w:val="en-GB"/>
        </w:rPr>
      </w:pPr>
      <w:r w:rsidRPr="00B16EA8">
        <w:rPr>
          <w:rFonts w:ascii="Times New Roman" w:hAnsi="Times New Roman" w:cs="Times New Roman"/>
          <w:b/>
          <w:sz w:val="20"/>
          <w:szCs w:val="20"/>
          <w:lang w:val="en-GB"/>
        </w:rPr>
        <w:t>Observation</w:t>
      </w:r>
      <w:r w:rsidRPr="00B16EA8">
        <w:rPr>
          <w:rFonts w:ascii="Times New Roman" w:hAnsi="Times New Roman" w:cs="Times New Roman"/>
          <w:sz w:val="20"/>
          <w:szCs w:val="20"/>
          <w:lang w:val="en-GB"/>
        </w:rPr>
        <w:t xml:space="preserve">: </w:t>
      </w:r>
      <w:r w:rsidR="001F6A49" w:rsidRPr="00B16EA8">
        <w:rPr>
          <w:rFonts w:ascii="Times New Roman" w:hAnsi="Times New Roman" w:cs="Times New Roman"/>
          <w:sz w:val="20"/>
          <w:szCs w:val="20"/>
          <w:lang w:val="en-GB"/>
        </w:rPr>
        <w:t>The</w:t>
      </w:r>
      <w:r w:rsidRPr="00B16EA8">
        <w:rPr>
          <w:rFonts w:ascii="Times New Roman" w:hAnsi="Times New Roman" w:cs="Times New Roman"/>
          <w:sz w:val="20"/>
          <w:szCs w:val="20"/>
          <w:lang w:val="en-GB"/>
        </w:rPr>
        <w:t xml:space="preserve"> NR-NR DC part of the work item does not require any Stage 2 input from RAN1</w:t>
      </w:r>
    </w:p>
    <w:p w14:paraId="5D445C7D" w14:textId="229D066C" w:rsidR="002E5808" w:rsidRDefault="002E5808" w:rsidP="00224092">
      <w:pPr>
        <w:rPr>
          <w:lang w:val="en-GB"/>
        </w:rPr>
      </w:pPr>
    </w:p>
    <w:p w14:paraId="7D0C1CFF" w14:textId="12703E1F" w:rsidR="002E5808" w:rsidRPr="001F6A49" w:rsidRDefault="002E5808" w:rsidP="001F6A49">
      <w:pPr>
        <w:pStyle w:val="Heading2"/>
      </w:pPr>
      <w:r w:rsidRPr="001F6A49">
        <w:lastRenderedPageBreak/>
        <w:t>Efficient and low latency serving cell configuration/activation/setup</w:t>
      </w:r>
    </w:p>
    <w:p w14:paraId="29249CD8" w14:textId="43908212" w:rsidR="001F6A49" w:rsidRPr="00B16EA8" w:rsidRDefault="001F6A49" w:rsidP="001F6A49">
      <w:pPr>
        <w:rPr>
          <w:rFonts w:ascii="Times New Roman" w:hAnsi="Times New Roman" w:cs="Times New Roman"/>
          <w:sz w:val="20"/>
          <w:szCs w:val="20"/>
          <w:lang w:val="en-GB"/>
        </w:rPr>
      </w:pPr>
      <w:r w:rsidRPr="00B16EA8">
        <w:rPr>
          <w:rFonts w:ascii="Times New Roman" w:hAnsi="Times New Roman" w:cs="Times New Roman"/>
          <w:sz w:val="20"/>
          <w:szCs w:val="20"/>
          <w:lang w:val="en-GB"/>
        </w:rPr>
        <w:t xml:space="preserve">Stage 2 specification on CA is also high </w:t>
      </w:r>
      <w:proofErr w:type="gramStart"/>
      <w:r w:rsidRPr="00B16EA8">
        <w:rPr>
          <w:rFonts w:ascii="Times New Roman" w:hAnsi="Times New Roman" w:cs="Times New Roman"/>
          <w:sz w:val="20"/>
          <w:szCs w:val="20"/>
          <w:lang w:val="en-GB"/>
        </w:rPr>
        <w:t>level, but</w:t>
      </w:r>
      <w:proofErr w:type="gramEnd"/>
      <w:r w:rsidRPr="00B16EA8">
        <w:rPr>
          <w:rFonts w:ascii="Times New Roman" w:hAnsi="Times New Roman" w:cs="Times New Roman"/>
          <w:sz w:val="20"/>
          <w:szCs w:val="20"/>
          <w:lang w:val="en-GB"/>
        </w:rPr>
        <w:t xml:space="preserve"> depending on the solution adopted for the efficient serving cell configuration/activation/</w:t>
      </w:r>
      <w:proofErr w:type="spellStart"/>
      <w:r w:rsidRPr="00B16EA8">
        <w:rPr>
          <w:rFonts w:ascii="Times New Roman" w:hAnsi="Times New Roman" w:cs="Times New Roman"/>
          <w:sz w:val="20"/>
          <w:szCs w:val="20"/>
          <w:lang w:val="en-GB"/>
        </w:rPr>
        <w:t>setu</w:t>
      </w:r>
      <w:proofErr w:type="spellEnd"/>
      <w:r w:rsidRPr="00B16EA8">
        <w:rPr>
          <w:rFonts w:ascii="Times New Roman" w:hAnsi="Times New Roman" w:cs="Times New Roman"/>
          <w:sz w:val="20"/>
          <w:szCs w:val="20"/>
          <w:lang w:val="en-GB"/>
        </w:rPr>
        <w:t>, it seems likely that are sufficiently high level in Rel-15 that it appears that nothing is needed for the FR1-FR1 DC in Stage 2. However, at this stage of the WI it is not yet possible to provide a proposal.</w:t>
      </w:r>
    </w:p>
    <w:p w14:paraId="658C93C5" w14:textId="0EE057A5" w:rsidR="001F6A49" w:rsidRDefault="001F6A49" w:rsidP="00224092">
      <w:pPr>
        <w:rPr>
          <w:lang w:val="en-GB"/>
        </w:rPr>
      </w:pPr>
      <w:r>
        <w:rPr>
          <w:lang w:val="en-GB"/>
        </w:rPr>
        <w:tab/>
      </w:r>
    </w:p>
    <w:p w14:paraId="0B77CD6E" w14:textId="2868B33B" w:rsidR="001F6A49" w:rsidRPr="00224092" w:rsidRDefault="001F6A49" w:rsidP="001F6A49">
      <w:pPr>
        <w:pStyle w:val="Caption"/>
        <w:keepNext/>
        <w:jc w:val="center"/>
        <w:rPr>
          <w:lang w:val="en-US"/>
        </w:rPr>
      </w:pPr>
      <w:r>
        <w:rPr>
          <w:lang w:val="en-US"/>
        </w:rPr>
        <w:lastRenderedPageBreak/>
        <w:t>Carrier Aggregation in</w:t>
      </w:r>
      <w:r w:rsidRPr="00224092">
        <w:rPr>
          <w:lang w:val="en-US"/>
        </w:rPr>
        <w:t xml:space="preserve"> TS38.300 [3]</w:t>
      </w:r>
    </w:p>
    <w:tbl>
      <w:tblPr>
        <w:tblStyle w:val="TableGrid"/>
        <w:tblW w:w="0" w:type="auto"/>
        <w:tblLook w:val="04A0" w:firstRow="1" w:lastRow="0" w:firstColumn="1" w:lastColumn="0" w:noHBand="0" w:noVBand="1"/>
      </w:tblPr>
      <w:tblGrid>
        <w:gridCol w:w="9629"/>
      </w:tblGrid>
      <w:tr w:rsidR="001F6A49" w14:paraId="57B2BCD3" w14:textId="77777777" w:rsidTr="008C4D01">
        <w:tc>
          <w:tcPr>
            <w:tcW w:w="9629" w:type="dxa"/>
          </w:tcPr>
          <w:p w14:paraId="6DF335EA" w14:textId="2288A4B0" w:rsidR="001F6A49" w:rsidRPr="00520387" w:rsidRDefault="001F6A49" w:rsidP="001F6A49">
            <w:pPr>
              <w:pStyle w:val="Heading1"/>
              <w:numPr>
                <w:ilvl w:val="0"/>
                <w:numId w:val="0"/>
              </w:numPr>
            </w:pPr>
            <w:bookmarkStart w:id="6" w:name="_Toc5707129"/>
            <w:bookmarkStart w:id="7" w:name="_Toc5707153"/>
            <w:r w:rsidRPr="00520387">
              <w:t>5</w:t>
            </w:r>
            <w:r w:rsidRPr="00520387">
              <w:tab/>
            </w:r>
            <w:r w:rsidRPr="001F6A49">
              <w:tab/>
            </w:r>
            <w:r w:rsidRPr="00520387">
              <w:t>Physical Layer</w:t>
            </w:r>
            <w:bookmarkEnd w:id="6"/>
          </w:p>
          <w:p w14:paraId="45371A27" w14:textId="7C804B09"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1E6B31D8" w14:textId="1748216D" w:rsidR="001F6A49" w:rsidRPr="00B16EA8" w:rsidRDefault="001F6A49" w:rsidP="001F6A49">
            <w:pPr>
              <w:keepNext/>
              <w:keepLines/>
              <w:overflowPunct w:val="0"/>
              <w:autoSpaceDE w:val="0"/>
              <w:autoSpaceDN w:val="0"/>
              <w:adjustRightInd w:val="0"/>
              <w:spacing w:before="120" w:after="180" w:line="240" w:lineRule="auto"/>
              <w:textAlignment w:val="baseline"/>
              <w:outlineLvl w:val="2"/>
              <w:rPr>
                <w:rFonts w:ascii="Arial" w:eastAsia="Times New Roman" w:hAnsi="Arial"/>
                <w:sz w:val="24"/>
                <w:lang w:val="en-GB" w:eastAsia="x-none"/>
              </w:rPr>
            </w:pPr>
            <w:r w:rsidRPr="00B16EA8">
              <w:rPr>
                <w:rFonts w:ascii="Arial" w:eastAsia="Times New Roman" w:hAnsi="Arial"/>
                <w:sz w:val="24"/>
                <w:lang w:val="en-GB" w:eastAsia="x-none"/>
              </w:rPr>
              <w:t>5.4.1</w:t>
            </w:r>
            <w:r w:rsidRPr="00B16EA8">
              <w:rPr>
                <w:rFonts w:ascii="Calibri" w:eastAsia="MS Mincho" w:hAnsi="Calibri"/>
                <w:sz w:val="20"/>
                <w:lang w:val="en-GB" w:eastAsia="x-none"/>
              </w:rPr>
              <w:tab/>
            </w:r>
            <w:r w:rsidRPr="00B16EA8">
              <w:rPr>
                <w:rFonts w:ascii="Arial" w:eastAsia="Times New Roman" w:hAnsi="Arial"/>
                <w:sz w:val="24"/>
                <w:lang w:val="en-GB" w:eastAsia="x-none"/>
              </w:rPr>
              <w:t>Carrier aggregation</w:t>
            </w:r>
            <w:bookmarkEnd w:id="7"/>
          </w:p>
          <w:p w14:paraId="24F84ECF" w14:textId="6281B0B6" w:rsidR="001F6A49" w:rsidRPr="00B16EA8" w:rsidRDefault="001F6A49"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5999DCB1" w14:textId="0FFED886"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E8343FE" w14:textId="5EC1BF6A" w:rsidR="001F6A49" w:rsidRPr="00B16EA8" w:rsidRDefault="001F6A49" w:rsidP="001F6A49">
            <w:pPr>
              <w:pStyle w:val="Heading1"/>
              <w:numPr>
                <w:ilvl w:val="0"/>
                <w:numId w:val="0"/>
              </w:numPr>
              <w:rPr>
                <w:sz w:val="32"/>
              </w:rPr>
            </w:pPr>
            <w:bookmarkStart w:id="8" w:name="_Toc5707156"/>
            <w:r w:rsidRPr="00B16EA8">
              <w:rPr>
                <w:sz w:val="32"/>
              </w:rPr>
              <w:t>6</w:t>
            </w:r>
            <w:r w:rsidRPr="00B16EA8">
              <w:rPr>
                <w:sz w:val="32"/>
              </w:rPr>
              <w:tab/>
            </w:r>
            <w:r w:rsidRPr="00B16EA8">
              <w:rPr>
                <w:sz w:val="32"/>
              </w:rPr>
              <w:tab/>
              <w:t>Layer 2</w:t>
            </w:r>
            <w:bookmarkEnd w:id="8"/>
          </w:p>
          <w:p w14:paraId="3EC534B1" w14:textId="7AB6ED88"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610CC76"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kern w:val="2"/>
                <w:sz w:val="28"/>
                <w:lang w:val="en-GB" w:eastAsia="zh-CN"/>
              </w:rPr>
            </w:pPr>
            <w:bookmarkStart w:id="9" w:name="_Toc5707171"/>
            <w:r w:rsidRPr="00B16EA8">
              <w:rPr>
                <w:rFonts w:ascii="Arial" w:eastAsia="Times New Roman" w:hAnsi="Arial"/>
                <w:kern w:val="2"/>
                <w:sz w:val="28"/>
                <w:lang w:val="en-GB" w:eastAsia="zh-CN"/>
              </w:rPr>
              <w:t>6.7</w:t>
            </w:r>
            <w:r w:rsidRPr="00B16EA8">
              <w:rPr>
                <w:rFonts w:ascii="Arial" w:eastAsia="Times New Roman" w:hAnsi="Arial"/>
                <w:kern w:val="2"/>
                <w:sz w:val="28"/>
                <w:lang w:val="en-GB" w:eastAsia="zh-CN"/>
              </w:rPr>
              <w:tab/>
              <w:t>Carrier Aggregation</w:t>
            </w:r>
            <w:bookmarkEnd w:id="9"/>
          </w:p>
          <w:p w14:paraId="6D80A3CE"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case of CA, the multi-carrier nature of the physical layer is only exposed to the MAC layer for which one HARQ entity is required per serving cell as depicted on Figures 6.7-1 and 6.7-2 below:</w:t>
            </w:r>
          </w:p>
          <w:p w14:paraId="7B1906F9" w14:textId="56C36328" w:rsidR="001F6A49" w:rsidRPr="00B16EA8" w:rsidRDefault="001F6A49" w:rsidP="001F6A4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w:t>
            </w:r>
            <w:r w:rsidRPr="00B16EA8">
              <w:rPr>
                <w:rFonts w:ascii="Times New Roman" w:eastAsia="Times New Roman" w:hAnsi="Times New Roman" w:cs="Times New Roman"/>
                <w:sz w:val="20"/>
                <w:lang w:val="en-GB" w:eastAsia="ja-JP"/>
              </w:rPr>
              <w:tab/>
              <w:t>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20BFCCFA" w14:textId="729B44F6"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5F6A01B8" w14:textId="430C0EB7" w:rsidR="001F6A49" w:rsidRPr="00B16EA8" w:rsidRDefault="001F6A49" w:rsidP="001F6A49">
            <w:pPr>
              <w:pStyle w:val="Heading1"/>
              <w:numPr>
                <w:ilvl w:val="0"/>
                <w:numId w:val="0"/>
              </w:numPr>
              <w:rPr>
                <w:sz w:val="32"/>
              </w:rPr>
            </w:pPr>
            <w:bookmarkStart w:id="10" w:name="_Toc5707175"/>
            <w:r w:rsidRPr="00B16EA8">
              <w:rPr>
                <w:sz w:val="32"/>
              </w:rPr>
              <w:t>7</w:t>
            </w:r>
            <w:r w:rsidRPr="00B16EA8">
              <w:rPr>
                <w:sz w:val="32"/>
              </w:rPr>
              <w:tab/>
            </w:r>
            <w:r w:rsidRPr="00B16EA8">
              <w:rPr>
                <w:sz w:val="32"/>
              </w:rPr>
              <w:tab/>
              <w:t>RRC</w:t>
            </w:r>
            <w:bookmarkEnd w:id="10"/>
          </w:p>
          <w:p w14:paraId="10DDBFB9" w14:textId="38A3C865" w:rsidR="001F6A49" w:rsidRPr="002E5808"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64F424C7"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ja-JP"/>
              </w:rPr>
            </w:pPr>
            <w:bookmarkStart w:id="11" w:name="_Toc5707185"/>
            <w:r w:rsidRPr="00B16EA8">
              <w:rPr>
                <w:rFonts w:ascii="Arial" w:eastAsia="Times New Roman" w:hAnsi="Arial"/>
                <w:sz w:val="28"/>
                <w:lang w:val="en-GB" w:eastAsia="ja-JP"/>
              </w:rPr>
              <w:t>7.7</w:t>
            </w:r>
            <w:r w:rsidRPr="00B16EA8">
              <w:rPr>
                <w:rFonts w:ascii="Arial" w:eastAsia="Times New Roman" w:hAnsi="Arial"/>
                <w:sz w:val="28"/>
                <w:lang w:val="en-GB" w:eastAsia="ja-JP"/>
              </w:rPr>
              <w:tab/>
              <w:t>Carrier Aggregation</w:t>
            </w:r>
            <w:bookmarkEnd w:id="11"/>
          </w:p>
          <w:p w14:paraId="0533CE5F"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 xml:space="preserve">When CA is configured, the UE only has one RRC connection with the network. At RRC connection establishment/re-establishment/handover, one serving cell provides the NAS mobility information, </w:t>
            </w:r>
            <w:r w:rsidRPr="00B16EA8">
              <w:rPr>
                <w:rFonts w:ascii="Times New Roman" w:eastAsia="Times New Roman" w:hAnsi="Times New Roman" w:cs="Times New Roman"/>
                <w:sz w:val="20"/>
                <w:lang w:val="en-GB" w:eastAsia="zh-CN"/>
              </w:rPr>
              <w:t>and a</w:t>
            </w:r>
            <w:r w:rsidRPr="00B16EA8">
              <w:rPr>
                <w:rFonts w:ascii="Times New Roman" w:eastAsia="Times New Roman" w:hAnsi="Times New Roman" w:cs="Times New Roman"/>
                <w:sz w:val="20"/>
                <w:lang w:val="en-GB" w:eastAsia="ja-JP"/>
              </w:rPr>
              <w:t>t RRC connection re-establishment/</w:t>
            </w:r>
            <w:r w:rsidRPr="00B16EA8">
              <w:rPr>
                <w:rFonts w:ascii="Times New Roman" w:eastAsia="Times New Roman" w:hAnsi="Times New Roman" w:cs="Times New Roman"/>
                <w:sz w:val="20"/>
                <w:lang w:val="en-GB" w:eastAsia="zh-CN"/>
              </w:rPr>
              <w:t>handover</w:t>
            </w:r>
            <w:r w:rsidRPr="00B16EA8">
              <w:rPr>
                <w:rFonts w:ascii="Times New Roman" w:eastAsia="Times New Roman" w:hAnsi="Times New Roman" w:cs="Times New Roman"/>
                <w:sz w:val="20"/>
                <w:lang w:val="en-GB" w:eastAsia="ja-JP"/>
              </w:rPr>
              <w:t>, one</w:t>
            </w:r>
            <w:r w:rsidRPr="00B16EA8">
              <w:rPr>
                <w:rFonts w:ascii="Times New Roman" w:eastAsia="Times New Roman" w:hAnsi="Times New Roman" w:cs="Times New Roman"/>
                <w:sz w:val="20"/>
                <w:lang w:val="en-GB" w:eastAsia="zh-CN"/>
              </w:rPr>
              <w:t xml:space="preserve"> serving cell provides</w:t>
            </w:r>
            <w:r w:rsidRPr="00B16EA8">
              <w:rPr>
                <w:rFonts w:ascii="Times New Roman" w:eastAsia="Times New Roman" w:hAnsi="Times New Roman" w:cs="Times New Roman"/>
                <w:sz w:val="20"/>
                <w:lang w:val="en-GB" w:eastAsia="ja-JP"/>
              </w:rPr>
              <w:t xml:space="preserve"> </w:t>
            </w:r>
            <w:r w:rsidRPr="00B16EA8">
              <w:rPr>
                <w:rFonts w:ascii="Times New Roman" w:eastAsia="Times New Roman" w:hAnsi="Times New Roman" w:cs="Times New Roman"/>
                <w:sz w:val="20"/>
                <w:lang w:val="en-GB" w:eastAsia="zh-CN"/>
              </w:rPr>
              <w:t xml:space="preserve">the </w:t>
            </w:r>
            <w:r w:rsidRPr="00B16EA8">
              <w:rPr>
                <w:rFonts w:ascii="Times New Roman" w:eastAsia="Times New Roman" w:hAnsi="Times New Roman" w:cs="Times New Roman"/>
                <w:sz w:val="20"/>
                <w:lang w:val="en-GB" w:eastAsia="ja-JP"/>
              </w:rPr>
              <w:t>security input. This cell is referred to as the Primary Cell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Depending on UE capabilities, Secondary Cells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can be configured to form together with the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a set of serving cells. The configured set of serving cells for a UE therefore always consists of one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and one or more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w:t>
            </w:r>
          </w:p>
          <w:p w14:paraId="2F7C8979" w14:textId="7BF018CB" w:rsidR="001F6A49" w:rsidRPr="00224092" w:rsidRDefault="001F6A49"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 xml:space="preserve">The reconfiguration, addition and removal of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can be performed by</w:t>
            </w:r>
            <w:r w:rsidRPr="00B16EA8">
              <w:rPr>
                <w:rFonts w:ascii="Times New Roman" w:eastAsia="Times New Roman" w:hAnsi="Times New Roman" w:cs="Times New Roman"/>
                <w:i/>
                <w:color w:val="000000"/>
                <w:sz w:val="20"/>
                <w:lang w:val="en-GB" w:eastAsia="ja-JP"/>
              </w:rPr>
              <w:t xml:space="preserve"> </w:t>
            </w:r>
            <w:r w:rsidRPr="00B16EA8">
              <w:rPr>
                <w:rFonts w:ascii="Times New Roman" w:eastAsia="Times New Roman" w:hAnsi="Times New Roman" w:cs="Times New Roman"/>
                <w:color w:val="000000"/>
                <w:sz w:val="20"/>
                <w:lang w:val="en-GB" w:eastAsia="ja-JP"/>
              </w:rPr>
              <w:t>RRC</w:t>
            </w:r>
            <w:r w:rsidRPr="00B16EA8">
              <w:rPr>
                <w:rFonts w:ascii="Times New Roman" w:eastAsia="Times New Roman" w:hAnsi="Times New Roman" w:cs="Times New Roman"/>
                <w:sz w:val="20"/>
                <w:lang w:val="en-GB" w:eastAsia="ja-JP"/>
              </w:rPr>
              <w:t xml:space="preserve">. At intra-NR handover, RRC can also add, remove, or reconfigure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for usage with the target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When adding a new </w:t>
            </w:r>
            <w:proofErr w:type="spellStart"/>
            <w:r w:rsidRPr="00B16EA8">
              <w:rPr>
                <w:rFonts w:ascii="Times New Roman" w:eastAsia="Times New Roman" w:hAnsi="Times New Roman" w:cs="Times New Roman"/>
                <w:sz w:val="20"/>
                <w:lang w:val="en-GB" w:eastAsia="ja-JP"/>
              </w:rPr>
              <w:t>SCell</w:t>
            </w:r>
            <w:proofErr w:type="spellEnd"/>
            <w:r w:rsidRPr="00B16EA8">
              <w:rPr>
                <w:rFonts w:ascii="Times New Roman" w:eastAsia="Times New Roman" w:hAnsi="Times New Roman" w:cs="Times New Roman"/>
                <w:sz w:val="20"/>
                <w:lang w:val="en-GB" w:eastAsia="ja-JP"/>
              </w:rPr>
              <w:t xml:space="preserve">, dedicated RRC signalling is used for sending all required system information of the </w:t>
            </w:r>
            <w:proofErr w:type="spellStart"/>
            <w:r w:rsidRPr="00B16EA8">
              <w:rPr>
                <w:rFonts w:ascii="Times New Roman" w:eastAsia="Times New Roman" w:hAnsi="Times New Roman" w:cs="Times New Roman"/>
                <w:sz w:val="20"/>
                <w:lang w:val="en-GB" w:eastAsia="ja-JP"/>
              </w:rPr>
              <w:t>SCell</w:t>
            </w:r>
            <w:proofErr w:type="spellEnd"/>
            <w:r w:rsidRPr="00B16EA8">
              <w:rPr>
                <w:rFonts w:ascii="Times New Roman" w:eastAsia="Times New Roman" w:hAnsi="Times New Roman" w:cs="Times New Roman"/>
                <w:sz w:val="20"/>
                <w:lang w:val="en-GB" w:eastAsia="ja-JP"/>
              </w:rPr>
              <w:t xml:space="preserve"> i.e. while in connected mode, UEs need not acquire broadcast system information directly from the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w:t>
            </w:r>
          </w:p>
        </w:tc>
      </w:tr>
    </w:tbl>
    <w:p w14:paraId="0E526EF8" w14:textId="792746D6" w:rsidR="001F6A49" w:rsidRDefault="001F6A49" w:rsidP="00224092">
      <w:pPr>
        <w:rPr>
          <w:lang w:val="en-GB"/>
        </w:rPr>
      </w:pPr>
    </w:p>
    <w:p w14:paraId="0526E6D1" w14:textId="7F15F6FA" w:rsidR="001F6A49" w:rsidRPr="00B16EA8" w:rsidRDefault="001F6A49" w:rsidP="001F6A49">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2D58A48" w14:textId="77777777" w:rsidR="001F6A49" w:rsidRPr="001F6A49" w:rsidRDefault="001F6A49" w:rsidP="00224092">
      <w:pPr>
        <w:rPr>
          <w:lang w:val="en-GB"/>
        </w:rPr>
      </w:pPr>
    </w:p>
    <w:p w14:paraId="7502AFA1" w14:textId="7A07B0DB" w:rsidR="001F6A49" w:rsidRPr="001F6A49" w:rsidRDefault="001F6A49" w:rsidP="001F6A49">
      <w:pPr>
        <w:pStyle w:val="Heading2"/>
      </w:pPr>
      <w:r w:rsidRPr="001F6A49">
        <w:t>Cross-carrier scheduling with different numerologies</w:t>
      </w:r>
    </w:p>
    <w:p w14:paraId="1418C80F" w14:textId="695EC086" w:rsidR="001F6A49" w:rsidRPr="00B16EA8" w:rsidRDefault="00F8310B" w:rsidP="00224092">
      <w:pPr>
        <w:rPr>
          <w:rFonts w:ascii="Times New Roman" w:hAnsi="Times New Roman" w:cs="Times New Roman"/>
          <w:sz w:val="20"/>
          <w:lang w:val="en-GB"/>
        </w:rPr>
      </w:pPr>
      <w:r w:rsidRPr="00B16EA8">
        <w:rPr>
          <w:rFonts w:ascii="Times New Roman" w:hAnsi="Times New Roman" w:cs="Times New Roman"/>
          <w:sz w:val="20"/>
          <w:lang w:val="en-GB"/>
        </w:rPr>
        <w:t xml:space="preserve">The stage 2 specification does not mention cross-carrier scheduling at all. However, the </w:t>
      </w:r>
      <w:r w:rsidR="00C907FD" w:rsidRPr="00B16EA8">
        <w:rPr>
          <w:rFonts w:ascii="Times New Roman" w:hAnsi="Times New Roman" w:cs="Times New Roman"/>
          <w:sz w:val="20"/>
          <w:lang w:val="en-GB"/>
        </w:rPr>
        <w:t>specification rapporteur has submitted a CR to RAN2#106 to introduce a sub-clause describing cross-carrier scheduling in the Rel-15 TS38.300 [2]. Assuming this CR is agreed, the cross-carrier scheduling with different numerologies should update the last bullet and potentially indicate what is different when the CCS is applied to different numerologies:</w:t>
      </w:r>
    </w:p>
    <w:p w14:paraId="6D49595C" w14:textId="5F681181" w:rsidR="00C907FD" w:rsidRPr="00224092" w:rsidRDefault="00C907FD" w:rsidP="00C907FD">
      <w:pPr>
        <w:pStyle w:val="Caption"/>
        <w:keepNext/>
        <w:jc w:val="center"/>
        <w:rPr>
          <w:lang w:val="en-US"/>
        </w:rPr>
      </w:pPr>
      <w:r>
        <w:rPr>
          <w:lang w:val="en-US"/>
        </w:rPr>
        <w:t xml:space="preserve">CR submitted to RAN2#106 proposing to introduce CCS to Rel-15 </w:t>
      </w:r>
      <w:r w:rsidRPr="00224092">
        <w:rPr>
          <w:lang w:val="en-US"/>
        </w:rPr>
        <w:t>TS38.300 [</w:t>
      </w:r>
      <w:r>
        <w:rPr>
          <w:lang w:val="en-US"/>
        </w:rPr>
        <w:t>2</w:t>
      </w:r>
      <w:r w:rsidRPr="00224092">
        <w:rPr>
          <w:lang w:val="en-US"/>
        </w:rPr>
        <w:t>]</w:t>
      </w:r>
    </w:p>
    <w:tbl>
      <w:tblPr>
        <w:tblStyle w:val="TableGrid"/>
        <w:tblW w:w="0" w:type="auto"/>
        <w:tblLook w:val="04A0" w:firstRow="1" w:lastRow="0" w:firstColumn="1" w:lastColumn="0" w:noHBand="0" w:noVBand="1"/>
      </w:tblPr>
      <w:tblGrid>
        <w:gridCol w:w="9629"/>
      </w:tblGrid>
      <w:tr w:rsidR="00C907FD" w14:paraId="2F1ECAD4" w14:textId="77777777" w:rsidTr="00C907FD">
        <w:tc>
          <w:tcPr>
            <w:tcW w:w="9629" w:type="dxa"/>
          </w:tcPr>
          <w:p w14:paraId="14971D69" w14:textId="77777777" w:rsidR="00C907FD" w:rsidRPr="00B16EA8" w:rsidRDefault="00C907FD" w:rsidP="00C907FD">
            <w:pPr>
              <w:pStyle w:val="Heading2"/>
              <w:numPr>
                <w:ilvl w:val="0"/>
                <w:numId w:val="0"/>
              </w:numPr>
              <w:ind w:left="567" w:hanging="567"/>
              <w:rPr>
                <w:sz w:val="28"/>
              </w:rPr>
            </w:pPr>
            <w:bookmarkStart w:id="12" w:name="_Toc5987353"/>
            <w:r w:rsidRPr="00B16EA8">
              <w:rPr>
                <w:sz w:val="28"/>
              </w:rPr>
              <w:t>10.</w:t>
            </w:r>
            <w:bookmarkEnd w:id="12"/>
            <w:r w:rsidRPr="00B16EA8">
              <w:rPr>
                <w:sz w:val="28"/>
              </w:rPr>
              <w:t>X</w:t>
            </w:r>
            <w:r w:rsidRPr="00B16EA8">
              <w:rPr>
                <w:sz w:val="28"/>
              </w:rPr>
              <w:tab/>
              <w:t>Cross Carrier Scheduling</w:t>
            </w:r>
          </w:p>
          <w:p w14:paraId="0450086F" w14:textId="77777777" w:rsidR="00C907FD" w:rsidRPr="00B16EA8" w:rsidRDefault="00C907FD" w:rsidP="00C907FD">
            <w:pPr>
              <w:rPr>
                <w:rFonts w:ascii="Calibri" w:hAnsi="Calibri" w:cs="Calibri"/>
                <w:color w:val="000000"/>
                <w:sz w:val="20"/>
              </w:rPr>
            </w:pPr>
            <w:r w:rsidRPr="00B16EA8">
              <w:rPr>
                <w:color w:val="000000"/>
                <w:sz w:val="20"/>
              </w:rPr>
              <w:t>Cross-carrier scheduling with the Carrier Indicator Field (CIF) allows the PDCCH of a serving cell to schedule resources on another serving cell but with the following restrictions:</w:t>
            </w:r>
          </w:p>
          <w:p w14:paraId="0D604226" w14:textId="77777777" w:rsidR="00C907FD" w:rsidRPr="00B16EA8" w:rsidRDefault="00C907FD" w:rsidP="00C907FD">
            <w:pPr>
              <w:pStyle w:val="B1"/>
              <w:rPr>
                <w:sz w:val="20"/>
              </w:rPr>
            </w:pPr>
            <w:r w:rsidRPr="00B16EA8">
              <w:rPr>
                <w:sz w:val="20"/>
              </w:rPr>
              <w:t xml:space="preserve">-    Cross-carrier scheduling does not apply to </w:t>
            </w:r>
            <w:proofErr w:type="spellStart"/>
            <w:r w:rsidRPr="00B16EA8">
              <w:rPr>
                <w:sz w:val="20"/>
              </w:rPr>
              <w:t>PCell</w:t>
            </w:r>
            <w:proofErr w:type="spellEnd"/>
            <w:r w:rsidRPr="00B16EA8">
              <w:rPr>
                <w:sz w:val="20"/>
              </w:rPr>
              <w:t xml:space="preserve"> i.e. </w:t>
            </w:r>
            <w:proofErr w:type="spellStart"/>
            <w:r w:rsidRPr="00B16EA8">
              <w:rPr>
                <w:sz w:val="20"/>
              </w:rPr>
              <w:t>PCell</w:t>
            </w:r>
            <w:proofErr w:type="spellEnd"/>
            <w:r w:rsidRPr="00B16EA8">
              <w:rPr>
                <w:sz w:val="20"/>
              </w:rPr>
              <w:t xml:space="preserve"> is always scheduled via its PDCCH;</w:t>
            </w:r>
          </w:p>
          <w:p w14:paraId="40D66BA5" w14:textId="77777777" w:rsidR="00C907FD" w:rsidRPr="00B16EA8" w:rsidRDefault="00C907FD" w:rsidP="00C907FD">
            <w:pPr>
              <w:pStyle w:val="B1"/>
              <w:rPr>
                <w:sz w:val="20"/>
              </w:rPr>
            </w:pPr>
            <w:r w:rsidRPr="00B16EA8">
              <w:rPr>
                <w:sz w:val="20"/>
              </w:rPr>
              <w:t xml:space="preserve">-    When an </w:t>
            </w:r>
            <w:proofErr w:type="spellStart"/>
            <w:r w:rsidRPr="00B16EA8">
              <w:rPr>
                <w:sz w:val="20"/>
              </w:rPr>
              <w:t>SCell</w:t>
            </w:r>
            <w:proofErr w:type="spellEnd"/>
            <w:r w:rsidRPr="00B16EA8">
              <w:rPr>
                <w:sz w:val="20"/>
              </w:rPr>
              <w:t xml:space="preserve"> is configured with a PDCCH, that cell’s PDSCH and PUSCH are always scheduled by the PDCCH on this </w:t>
            </w:r>
            <w:proofErr w:type="spellStart"/>
            <w:r w:rsidRPr="00B16EA8">
              <w:rPr>
                <w:sz w:val="20"/>
              </w:rPr>
              <w:t>SCell</w:t>
            </w:r>
            <w:proofErr w:type="spellEnd"/>
            <w:r w:rsidRPr="00B16EA8">
              <w:rPr>
                <w:sz w:val="20"/>
              </w:rPr>
              <w:t>;</w:t>
            </w:r>
          </w:p>
          <w:p w14:paraId="7CEC697C" w14:textId="77777777" w:rsidR="00C907FD" w:rsidRPr="00B16EA8" w:rsidRDefault="00C907FD" w:rsidP="00C907FD">
            <w:pPr>
              <w:pStyle w:val="B1"/>
              <w:rPr>
                <w:sz w:val="20"/>
              </w:rPr>
            </w:pPr>
            <w:r w:rsidRPr="00B16EA8">
              <w:rPr>
                <w:sz w:val="20"/>
              </w:rPr>
              <w:t xml:space="preserve">-    When an </w:t>
            </w:r>
            <w:proofErr w:type="spellStart"/>
            <w:r w:rsidRPr="00B16EA8">
              <w:rPr>
                <w:sz w:val="20"/>
              </w:rPr>
              <w:t>SCell</w:t>
            </w:r>
            <w:proofErr w:type="spellEnd"/>
            <w:r w:rsidRPr="00B16EA8">
              <w:rPr>
                <w:sz w:val="20"/>
              </w:rPr>
              <w:t xml:space="preserve"> is not configured with a PDCCH, that </w:t>
            </w:r>
            <w:proofErr w:type="spellStart"/>
            <w:r w:rsidRPr="00B16EA8">
              <w:rPr>
                <w:sz w:val="20"/>
              </w:rPr>
              <w:t>SCell’s</w:t>
            </w:r>
            <w:proofErr w:type="spellEnd"/>
            <w:r w:rsidRPr="00B16EA8">
              <w:rPr>
                <w:sz w:val="20"/>
              </w:rPr>
              <w:t xml:space="preserve"> PDSCH and PUSCH are always scheduled by a PDCCH on another serving cell;</w:t>
            </w:r>
          </w:p>
          <w:p w14:paraId="5C186670" w14:textId="1D55099D" w:rsidR="00C907FD" w:rsidRPr="00C907FD" w:rsidRDefault="00C907FD" w:rsidP="00C907FD">
            <w:pPr>
              <w:pStyle w:val="B1"/>
            </w:pPr>
            <w:r w:rsidRPr="00B16EA8">
              <w:rPr>
                <w:sz w:val="20"/>
              </w:rPr>
              <w:t>-</w:t>
            </w:r>
            <w:r w:rsidRPr="00B16EA8">
              <w:rPr>
                <w:sz w:val="20"/>
              </w:rPr>
              <w:tab/>
              <w:t>The scheduling PDCCH and the scheduled PDSCH/PUSCH are using the same numerology.</w:t>
            </w:r>
          </w:p>
        </w:tc>
      </w:tr>
    </w:tbl>
    <w:p w14:paraId="129C938D" w14:textId="730CBEB3" w:rsidR="00C907FD" w:rsidRDefault="00C907FD" w:rsidP="00224092">
      <w:pPr>
        <w:rPr>
          <w:lang w:val="en-GB"/>
        </w:rPr>
      </w:pPr>
    </w:p>
    <w:p w14:paraId="59CCF7BC" w14:textId="0786E7B9" w:rsidR="00C907FD" w:rsidRPr="00B16EA8" w:rsidRDefault="00C907FD" w:rsidP="00C907FD">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If RAN2 agrees to the CR in [2], then the Rel-16 CCS with different numerologies would need to revise the last bullet and potentially introduce additional points on the difference between same numerology and different numerology scheduling.</w:t>
      </w:r>
    </w:p>
    <w:p w14:paraId="4AFCDA0E" w14:textId="77777777" w:rsidR="00C907FD" w:rsidRPr="001F6A49" w:rsidRDefault="00C907FD" w:rsidP="00224092">
      <w:pPr>
        <w:rPr>
          <w:lang w:val="en-GB"/>
        </w:rPr>
      </w:pPr>
    </w:p>
    <w:p w14:paraId="72EC44AA" w14:textId="7A056144" w:rsidR="001F6A49" w:rsidRDefault="008108CC" w:rsidP="001F6A49">
      <w:pPr>
        <w:pStyle w:val="Heading2"/>
      </w:pPr>
      <w:r>
        <w:t>S</w:t>
      </w:r>
      <w:r w:rsidR="001F6A49" w:rsidRPr="001F6A49">
        <w:t>ingle Tx switched uplink solution</w:t>
      </w:r>
    </w:p>
    <w:p w14:paraId="7C045EE1" w14:textId="4D1AB373" w:rsidR="000F21B4" w:rsidRPr="00B16EA8" w:rsidRDefault="008108CC" w:rsidP="000F21B4">
      <w:pPr>
        <w:rPr>
          <w:rFonts w:ascii="Times New Roman" w:hAnsi="Times New Roman" w:cs="Times New Roman"/>
          <w:sz w:val="20"/>
          <w:lang w:val="en-GB"/>
        </w:rPr>
      </w:pPr>
      <w:proofErr w:type="gramStart"/>
      <w:r w:rsidRPr="00B16EA8">
        <w:rPr>
          <w:rFonts w:ascii="Times New Roman" w:hAnsi="Times New Roman" w:cs="Times New Roman"/>
          <w:sz w:val="20"/>
          <w:lang w:val="en-GB"/>
        </w:rPr>
        <w:t>Similar to</w:t>
      </w:r>
      <w:proofErr w:type="gramEnd"/>
      <w:r w:rsidRPr="00B16EA8">
        <w:rPr>
          <w:rFonts w:ascii="Times New Roman" w:hAnsi="Times New Roman" w:cs="Times New Roman"/>
          <w:sz w:val="20"/>
          <w:lang w:val="en-GB"/>
        </w:rPr>
        <w:t xml:space="preserve"> NR-NR DC, the Single Tx Switched uplink is not visible on the Stage 2 level, and thus the extension to it would not require any stage 2 specification changes.</w:t>
      </w:r>
    </w:p>
    <w:p w14:paraId="387334E6" w14:textId="3C21D5EC" w:rsidR="00CF1256" w:rsidRPr="00B16EA8" w:rsidRDefault="00CF1256" w:rsidP="00CF1256">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4EB8DA7E" w14:textId="6D18591D" w:rsidR="000F21B4" w:rsidRPr="00A51522" w:rsidRDefault="000F21B4" w:rsidP="000F21B4">
      <w:pPr>
        <w:pStyle w:val="Heading1"/>
        <w:ind w:hanging="858"/>
      </w:pPr>
      <w:r>
        <w:t>Conclusions</w:t>
      </w:r>
    </w:p>
    <w:p w14:paraId="262CF29B" w14:textId="084663EC"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sz w:val="20"/>
          <w:lang w:val="en-GB"/>
        </w:rPr>
        <w:t>On the RAN1 input towards the stage 2 specifications for the 4 sub-features worked on the MR DC-CA enhancements work item, the following observations are made</w:t>
      </w:r>
    </w:p>
    <w:p w14:paraId="3EAE6445"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NR-NR DC part of the work item does not require any Stage 2 input from RAN1</w:t>
      </w:r>
    </w:p>
    <w:p w14:paraId="76E9C509"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EFDFBE8"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lastRenderedPageBreak/>
        <w:t>Observation</w:t>
      </w:r>
      <w:r w:rsidRPr="00B16EA8">
        <w:rPr>
          <w:rFonts w:ascii="Times New Roman" w:hAnsi="Times New Roman" w:cs="Times New Roman"/>
          <w:sz w:val="20"/>
          <w:lang w:val="en-GB"/>
        </w:rPr>
        <w:t>: If RAN2 agrees to the CR in [2], then the Rel-16 CCS with different numerologies would need to revise the last bullet and potentially introduce additional points on the difference between same numerology and different numerology scheduling.</w:t>
      </w:r>
    </w:p>
    <w:p w14:paraId="0F74036B" w14:textId="6F334810" w:rsidR="000F21B4" w:rsidRPr="00B16EA8" w:rsidRDefault="00CF1256"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1D6087F3" w14:textId="77777777" w:rsidR="00CF1256" w:rsidRPr="00B16EA8" w:rsidRDefault="00CF1256" w:rsidP="000F21B4">
      <w:pPr>
        <w:rPr>
          <w:rFonts w:ascii="Times New Roman" w:hAnsi="Times New Roman" w:cs="Times New Roman"/>
          <w:sz w:val="20"/>
          <w:lang w:val="en-GB"/>
        </w:rPr>
      </w:pPr>
    </w:p>
    <w:p w14:paraId="0CF0D6BC" w14:textId="634B9CFA" w:rsidR="00530586" w:rsidRPr="00B16EA8" w:rsidRDefault="00530586" w:rsidP="000F21B4">
      <w:pPr>
        <w:rPr>
          <w:rFonts w:ascii="Times New Roman" w:hAnsi="Times New Roman" w:cs="Times New Roman"/>
          <w:sz w:val="20"/>
          <w:lang w:val="en-GB"/>
        </w:rPr>
      </w:pPr>
      <w:r w:rsidRPr="00B16EA8">
        <w:rPr>
          <w:rFonts w:ascii="Times New Roman" w:hAnsi="Times New Roman" w:cs="Times New Roman"/>
          <w:sz w:val="20"/>
          <w:lang w:val="en-GB"/>
        </w:rPr>
        <w:t>A starting point for the stage 2 TP for the cross-carrier scheduling with different numerologies is provided in the Annex for further discussion.</w:t>
      </w:r>
    </w:p>
    <w:p w14:paraId="0D2B1151" w14:textId="77777777" w:rsidR="003C227B" w:rsidRPr="00A51522" w:rsidRDefault="003C227B" w:rsidP="00B96119">
      <w:pPr>
        <w:pStyle w:val="Heading1"/>
        <w:ind w:hanging="858"/>
      </w:pPr>
      <w:r w:rsidRPr="00A51522">
        <w:t xml:space="preserve">References </w:t>
      </w:r>
    </w:p>
    <w:p w14:paraId="4AFA67EC" w14:textId="31095E2A" w:rsidR="004C790B" w:rsidRPr="00B16EA8" w:rsidRDefault="00882D99" w:rsidP="00A814F3">
      <w:pPr>
        <w:pStyle w:val="ListParagraph"/>
        <w:numPr>
          <w:ilvl w:val="0"/>
          <w:numId w:val="5"/>
        </w:numPr>
        <w:rPr>
          <w:rFonts w:ascii="Times New Roman" w:hAnsi="Times New Roman" w:cs="Times New Roman"/>
          <w:lang w:val="en-GB"/>
        </w:rPr>
      </w:pPr>
      <w:bookmarkStart w:id="13" w:name="_Ref534191929"/>
      <w:bookmarkStart w:id="14" w:name="_Ref521401214"/>
      <w:r w:rsidRPr="00B16EA8">
        <w:rPr>
          <w:rFonts w:ascii="Times New Roman" w:hAnsi="Times New Roman" w:cs="Times New Roman"/>
          <w:lang w:val="en-GB" w:eastAsia="zh-CN"/>
        </w:rPr>
        <w:t>RP-1</w:t>
      </w:r>
      <w:r w:rsidR="00671EBF" w:rsidRPr="00B16EA8">
        <w:rPr>
          <w:rFonts w:ascii="Times New Roman" w:hAnsi="Times New Roman" w:cs="Times New Roman"/>
          <w:lang w:val="en-GB" w:eastAsia="zh-CN"/>
        </w:rPr>
        <w:t>90452</w:t>
      </w:r>
      <w:r w:rsidR="004C790B" w:rsidRPr="00B16EA8">
        <w:rPr>
          <w:rFonts w:ascii="Times New Roman" w:hAnsi="Times New Roman" w:cs="Times New Roman"/>
          <w:lang w:val="en-GB" w:eastAsia="zh-CN"/>
        </w:rPr>
        <w:t>, “</w:t>
      </w:r>
      <w:r w:rsidRPr="00B16EA8">
        <w:rPr>
          <w:rFonts w:ascii="Times New Roman" w:hAnsi="Times New Roman" w:cs="Times New Roman"/>
          <w:lang w:val="en-GB" w:eastAsia="zh-CN"/>
        </w:rPr>
        <w:t>WID on Multi-RAT Dual-Connectivity and Carrier Aggregation enhancements</w:t>
      </w:r>
      <w:r w:rsidR="004C790B" w:rsidRPr="00B16EA8">
        <w:rPr>
          <w:rFonts w:ascii="Times New Roman" w:hAnsi="Times New Roman" w:cs="Times New Roman"/>
          <w:lang w:val="en-GB" w:eastAsia="zh-CN"/>
        </w:rPr>
        <w:t xml:space="preserve">”, </w:t>
      </w:r>
      <w:bookmarkEnd w:id="13"/>
      <w:r w:rsidR="0045590E" w:rsidRPr="00B16EA8">
        <w:rPr>
          <w:rFonts w:ascii="Times New Roman" w:hAnsi="Times New Roman" w:cs="Times New Roman"/>
          <w:lang w:val="en-GB"/>
        </w:rPr>
        <w:t>Ericsson, Nokia, Nokia Shanghai Bell, Huawei</w:t>
      </w:r>
    </w:p>
    <w:p w14:paraId="0D2B119D" w14:textId="6683B747" w:rsidR="007812BE" w:rsidRPr="00B16EA8" w:rsidRDefault="00671EBF" w:rsidP="00A814F3">
      <w:pPr>
        <w:pStyle w:val="ListParagraph"/>
        <w:numPr>
          <w:ilvl w:val="0"/>
          <w:numId w:val="5"/>
        </w:numPr>
        <w:rPr>
          <w:rFonts w:ascii="Times New Roman" w:hAnsi="Times New Roman" w:cs="Times New Roman"/>
        </w:rPr>
      </w:pPr>
      <w:r w:rsidRPr="00B16EA8">
        <w:rPr>
          <w:rFonts w:ascii="Times New Roman" w:hAnsi="Times New Roman" w:cs="Times New Roman"/>
          <w:lang w:val="en-GB"/>
        </w:rPr>
        <w:t>R</w:t>
      </w:r>
      <w:r w:rsidR="00A64140" w:rsidRPr="00B16EA8">
        <w:rPr>
          <w:rFonts w:ascii="Times New Roman" w:hAnsi="Times New Roman" w:cs="Times New Roman"/>
          <w:lang w:val="en-GB"/>
        </w:rPr>
        <w:t>2</w:t>
      </w:r>
      <w:r w:rsidRPr="00B16EA8">
        <w:rPr>
          <w:rFonts w:ascii="Times New Roman" w:hAnsi="Times New Roman" w:cs="Times New Roman"/>
          <w:lang w:val="en-GB"/>
        </w:rPr>
        <w:t>-190</w:t>
      </w:r>
      <w:r w:rsidR="00A64140" w:rsidRPr="00B16EA8">
        <w:rPr>
          <w:rFonts w:ascii="Times New Roman" w:hAnsi="Times New Roman" w:cs="Times New Roman"/>
          <w:lang w:val="en-GB"/>
        </w:rPr>
        <w:t>6036</w:t>
      </w:r>
      <w:r w:rsidRPr="00B16EA8">
        <w:rPr>
          <w:rFonts w:ascii="Times New Roman" w:hAnsi="Times New Roman" w:cs="Times New Roman"/>
          <w:lang w:val="en-GB"/>
        </w:rPr>
        <w:t xml:space="preserve"> “</w:t>
      </w:r>
      <w:r w:rsidR="00A64140" w:rsidRPr="00B16EA8">
        <w:rPr>
          <w:rFonts w:ascii="Times New Roman" w:hAnsi="Times New Roman" w:cs="Times New Roman"/>
          <w:lang w:val="en-GB"/>
        </w:rPr>
        <w:t>38.300CR0157, Cross Carrier Scheduling</w:t>
      </w:r>
      <w:r w:rsidRPr="00B16EA8">
        <w:rPr>
          <w:rFonts w:ascii="Times New Roman" w:hAnsi="Times New Roman" w:cs="Times New Roman"/>
          <w:lang w:val="en-GB"/>
        </w:rPr>
        <w:t>”, Nokia</w:t>
      </w:r>
      <w:r w:rsidR="00A64140" w:rsidRPr="00B16EA8">
        <w:rPr>
          <w:rFonts w:ascii="Times New Roman" w:hAnsi="Times New Roman" w:cs="Times New Roman"/>
          <w:lang w:val="en-GB"/>
        </w:rPr>
        <w:t xml:space="preserve"> (Rapporteur)</w:t>
      </w:r>
      <w:bookmarkEnd w:id="0"/>
      <w:bookmarkEnd w:id="14"/>
    </w:p>
    <w:p w14:paraId="661B1B8C" w14:textId="78767C32"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38.300</w:t>
      </w:r>
      <w:r w:rsidR="00224092" w:rsidRPr="00B16EA8">
        <w:rPr>
          <w:rFonts w:ascii="Times New Roman" w:hAnsi="Times New Roman" w:cs="Times New Roman"/>
        </w:rPr>
        <w:t xml:space="preserve"> “NR; NR and NG-RAN Overall Description; Stage 2”, V. 15.5.0</w:t>
      </w:r>
    </w:p>
    <w:p w14:paraId="4DBC31AC" w14:textId="70B5FFFF"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37.340 “Evolved Universal Terrestrial Radio Access (E-UTRA) and NR; Multi-connectivity; Stage 2”, V. 15.5.0</w:t>
      </w:r>
    </w:p>
    <w:p w14:paraId="4C56784E" w14:textId="47D60303" w:rsidR="000F21B4" w:rsidRPr="00A51522" w:rsidRDefault="000F21B4" w:rsidP="000F21B4">
      <w:pPr>
        <w:pStyle w:val="Heading1"/>
        <w:numPr>
          <w:ilvl w:val="0"/>
          <w:numId w:val="0"/>
        </w:numPr>
      </w:pPr>
      <w:r>
        <w:t>Annex – Cross Carrier Scheduling with different numerologies</w:t>
      </w:r>
      <w:r w:rsidRPr="00A51522">
        <w:t xml:space="preserve"> </w:t>
      </w:r>
    </w:p>
    <w:p w14:paraId="08F021F4" w14:textId="77777777" w:rsidR="000F21B4" w:rsidRPr="00B16EA8" w:rsidRDefault="000F21B4" w:rsidP="000F21B4">
      <w:pPr>
        <w:pStyle w:val="Heading2"/>
        <w:numPr>
          <w:ilvl w:val="0"/>
          <w:numId w:val="0"/>
        </w:numPr>
        <w:ind w:left="567" w:hanging="567"/>
        <w:rPr>
          <w:sz w:val="28"/>
        </w:rPr>
      </w:pPr>
      <w:r w:rsidRPr="00B16EA8">
        <w:rPr>
          <w:sz w:val="28"/>
        </w:rPr>
        <w:t>10.X</w:t>
      </w:r>
      <w:r w:rsidRPr="00B16EA8">
        <w:rPr>
          <w:sz w:val="28"/>
        </w:rPr>
        <w:tab/>
        <w:t>Cross Carrier Scheduling</w:t>
      </w:r>
    </w:p>
    <w:p w14:paraId="7F5343E3" w14:textId="77777777" w:rsidR="000F21B4" w:rsidRPr="00B16EA8" w:rsidRDefault="000F21B4" w:rsidP="000F21B4">
      <w:pPr>
        <w:rPr>
          <w:rFonts w:ascii="Times New Roman" w:hAnsi="Times New Roman" w:cs="Times New Roman"/>
          <w:color w:val="000000"/>
          <w:sz w:val="20"/>
        </w:rPr>
      </w:pPr>
      <w:r w:rsidRPr="00B16EA8">
        <w:rPr>
          <w:rFonts w:ascii="Times New Roman" w:hAnsi="Times New Roman" w:cs="Times New Roman"/>
          <w:color w:val="000000"/>
          <w:sz w:val="20"/>
        </w:rPr>
        <w:t>Cross-carrier scheduling with the Carrier Indicator Field (CIF) allows the PDCCH of a serving cell to schedule resources on another serving cell but with the following restrictions:</w:t>
      </w:r>
    </w:p>
    <w:p w14:paraId="386048C9"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Cross-carrier scheduling does not apply to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i.e.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is always scheduled via its PDCCH;</w:t>
      </w:r>
    </w:p>
    <w:p w14:paraId="60D52175"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When an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 xml:space="preserve"> is configured with a PDCCH, that cell’s PDSCH and PUSCH are always scheduled by the PDCCH on this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w:t>
      </w:r>
    </w:p>
    <w:p w14:paraId="69D051B0"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When an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 xml:space="preserve"> is not configured with a PDCCH, that </w:t>
      </w:r>
      <w:proofErr w:type="spellStart"/>
      <w:r w:rsidRPr="00B16EA8">
        <w:rPr>
          <w:rFonts w:ascii="Times New Roman" w:hAnsi="Times New Roman" w:cs="Times New Roman"/>
          <w:sz w:val="20"/>
        </w:rPr>
        <w:t>SCell’s</w:t>
      </w:r>
      <w:proofErr w:type="spellEnd"/>
      <w:r w:rsidRPr="00B16EA8">
        <w:rPr>
          <w:rFonts w:ascii="Times New Roman" w:hAnsi="Times New Roman" w:cs="Times New Roman"/>
          <w:sz w:val="20"/>
        </w:rPr>
        <w:t xml:space="preserve"> PDSCH and PUSCH are always scheduled by a PDCCH on another serving cell;</w:t>
      </w:r>
    </w:p>
    <w:p w14:paraId="112AC3AA" w14:textId="77DAB90E" w:rsidR="000F21B4" w:rsidRPr="00B16EA8" w:rsidRDefault="000F21B4" w:rsidP="000F21B4">
      <w:pPr>
        <w:pStyle w:val="B1"/>
        <w:rPr>
          <w:rFonts w:ascii="Times New Roman" w:hAnsi="Times New Roman" w:cs="Times New Roman"/>
          <w:strike/>
          <w:color w:val="FF0000"/>
          <w:sz w:val="20"/>
        </w:rPr>
      </w:pPr>
      <w:r w:rsidRPr="00B16EA8">
        <w:rPr>
          <w:rFonts w:ascii="Times New Roman" w:hAnsi="Times New Roman" w:cs="Times New Roman"/>
          <w:strike/>
          <w:color w:val="FF0000"/>
          <w:sz w:val="20"/>
        </w:rPr>
        <w:t>-</w:t>
      </w:r>
      <w:r w:rsidRPr="00B16EA8">
        <w:rPr>
          <w:rFonts w:ascii="Times New Roman" w:hAnsi="Times New Roman" w:cs="Times New Roman"/>
          <w:strike/>
          <w:color w:val="FF0000"/>
          <w:sz w:val="20"/>
        </w:rPr>
        <w:tab/>
        <w:t>The scheduling PDCCH and the scheduled PDSCH/PUSCH are using the same numerology.</w:t>
      </w:r>
    </w:p>
    <w:p w14:paraId="2677116C" w14:textId="77777777" w:rsidR="00F4051E" w:rsidRPr="00B16EA8" w:rsidRDefault="000F21B4" w:rsidP="000F21B4">
      <w:pPr>
        <w:rPr>
          <w:rFonts w:ascii="Times New Roman" w:hAnsi="Times New Roman" w:cs="Times New Roman"/>
          <w:color w:val="FF0000"/>
          <w:sz w:val="20"/>
          <w:u w:val="single"/>
        </w:rPr>
      </w:pPr>
      <w:r w:rsidRPr="00B16EA8">
        <w:rPr>
          <w:rFonts w:ascii="Times New Roman" w:hAnsi="Times New Roman" w:cs="Times New Roman"/>
          <w:color w:val="FF0000"/>
          <w:sz w:val="20"/>
          <w:u w:val="single"/>
        </w:rPr>
        <w:t xml:space="preserve">When Cross-carrier scheduling is so that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 xml:space="preserve">scheduling PDCCH and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scheduled PDSCH/PUSCH have a different numerology,</w:t>
      </w:r>
    </w:p>
    <w:p w14:paraId="7E7FBE5D" w14:textId="44D0F901"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The PDCCH-to-</w:t>
      </w:r>
      <w:proofErr w:type="spellStart"/>
      <w:r w:rsidRPr="00B16EA8">
        <w:rPr>
          <w:rFonts w:ascii="Times New Roman" w:hAnsi="Times New Roman" w:cs="Times New Roman"/>
          <w:color w:val="FF0000"/>
          <w:sz w:val="20"/>
          <w:u w:val="single"/>
        </w:rPr>
        <w:t>PxSCH</w:t>
      </w:r>
      <w:proofErr w:type="spellEnd"/>
      <w:r w:rsidRPr="00B16EA8">
        <w:rPr>
          <w:rFonts w:ascii="Times New Roman" w:hAnsi="Times New Roman" w:cs="Times New Roman"/>
          <w:color w:val="FF0000"/>
          <w:sz w:val="20"/>
          <w:u w:val="single"/>
        </w:rPr>
        <w:t xml:space="preserve"> timing is determined differently than if the numerologies are the same;</w:t>
      </w:r>
    </w:p>
    <w:p w14:paraId="7F6BFAEC" w14:textId="77777777"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w:t>
      </w:r>
    </w:p>
    <w:p w14:paraId="1CFA5269" w14:textId="27338B19" w:rsidR="000F21B4" w:rsidRPr="000F21B4" w:rsidRDefault="000F21B4" w:rsidP="000F21B4">
      <w:pPr>
        <w:rPr>
          <w:color w:val="000000"/>
        </w:rPr>
      </w:pPr>
      <w:r>
        <w:rPr>
          <w:color w:val="000000"/>
        </w:rPr>
        <w:t xml:space="preserve"> </w:t>
      </w:r>
    </w:p>
    <w:sectPr w:rsidR="000F21B4" w:rsidRPr="000F21B4"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F7BE" w14:textId="77777777" w:rsidR="00A814F3" w:rsidRDefault="00A814F3" w:rsidP="00224092">
      <w:r>
        <w:separator/>
      </w:r>
    </w:p>
  </w:endnote>
  <w:endnote w:type="continuationSeparator" w:id="0">
    <w:p w14:paraId="426DDAAD" w14:textId="77777777" w:rsidR="00A814F3" w:rsidRDefault="00A814F3" w:rsidP="00224092">
      <w:r>
        <w:continuationSeparator/>
      </w:r>
    </w:p>
  </w:endnote>
  <w:endnote w:type="continuationNotice" w:id="1">
    <w:p w14:paraId="20213D24" w14:textId="77777777" w:rsidR="00A814F3" w:rsidRDefault="00A814F3" w:rsidP="0022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2D945" w14:textId="77777777" w:rsidR="00A814F3" w:rsidRDefault="00A814F3" w:rsidP="00224092">
      <w:r>
        <w:separator/>
      </w:r>
    </w:p>
  </w:footnote>
  <w:footnote w:type="continuationSeparator" w:id="0">
    <w:p w14:paraId="33F025B8" w14:textId="77777777" w:rsidR="00A814F3" w:rsidRDefault="00A814F3" w:rsidP="00224092">
      <w:r>
        <w:continuationSeparator/>
      </w:r>
    </w:p>
  </w:footnote>
  <w:footnote w:type="continuationNotice" w:id="1">
    <w:p w14:paraId="232D1D3F" w14:textId="77777777" w:rsidR="00A814F3" w:rsidRDefault="00A814F3" w:rsidP="00224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AB7337"/>
    <w:multiLevelType w:val="multilevel"/>
    <w:tmpl w:val="26481AF6"/>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1B4"/>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A49"/>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092"/>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808"/>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586"/>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20A5"/>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8CC"/>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40"/>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4F3"/>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6EA8"/>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7FD"/>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256"/>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51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310B"/>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EA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F6A49"/>
    <w:pPr>
      <w:numPr>
        <w:ilvl w:val="1"/>
      </w:numPr>
      <w:pBdr>
        <w:top w:val="none" w:sz="0" w:space="0" w:color="auto"/>
      </w:pBdr>
      <w:spacing w:before="180"/>
      <w:ind w:left="567"/>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B16E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EA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eastAsia="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5AIRPNAIUNRU-1830940522-5584</_dlc_DocId>
    <_dlc_DocIdUrl xmlns="71c5aaf6-e6ce-465b-b873-5148d2a4c105">
      <Url>https://nokia.sharepoint.com/sites/c5g/5gradio/_layouts/15/DocIdRedir.aspx?ID=5AIRPNAIUNRU-1830940522-5584</Url>
      <Description>5AIRPNAIUNRU-1830940522-5584</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5.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229382-2A27-4B12-9C24-4A568D658E7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069FC891-501A-46C6-B7B0-E95BA4C4A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2019-05-03T16:50:00Z</dcterms:created>
  <dcterms:modified xsi:type="dcterms:W3CDTF">2019-05-03T16:50:00Z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bd58ff07-1ac4-4448-88e9-3760d1dec1e2</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